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bookmarkStart w:id="0" w:name="_Hlk146119596"/>
      <w:bookmarkEnd w:id="0"/>
      <w:r>
        <w:rPr>
          <w:rFonts w:hint="eastAsia" w:ascii="仿宋" w:hAnsi="仿宋" w:eastAsia="仿宋" w:cs="仿宋"/>
          <w:sz w:val="32"/>
          <w:szCs w:val="32"/>
        </w:rPr>
        <w:t>附件2：</w:t>
      </w:r>
    </w:p>
    <w:p>
      <w:pPr>
        <w:adjustRightInd w:val="0"/>
        <w:snapToGrid w:val="0"/>
        <w:spacing w:line="5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物资采购分项报价功能操作说明</w:t>
      </w:r>
    </w:p>
    <w:p>
      <w:pPr>
        <w:jc w:val="center"/>
        <w:rPr>
          <w:b/>
          <w:bCs/>
          <w:sz w:val="32"/>
          <w:szCs w:val="32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 xml:space="preserve">第一章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招标人（采购人）操作</w:t>
      </w:r>
    </w:p>
    <w:p>
      <w:pPr>
        <w:pStyle w:val="25"/>
        <w:spacing w:line="360" w:lineRule="auto"/>
        <w:ind w:firstLine="517" w:firstLineChars="16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说明</w:t>
      </w:r>
      <w:r>
        <w:rPr>
          <w:rFonts w:hint="eastAsia" w:ascii="仿宋" w:hAnsi="仿宋" w:eastAsia="仿宋"/>
          <w:sz w:val="32"/>
          <w:szCs w:val="32"/>
        </w:rPr>
        <w:t>：适用于货物类采购项目进行网上全流程公开招标、邀请招标、谈判采购、询比采购、单一来源采购时，要求必须在平台录入</w:t>
      </w:r>
      <w:r>
        <w:rPr>
          <w:rFonts w:hint="eastAsia" w:ascii="仿宋" w:hAnsi="仿宋" w:eastAsia="仿宋" w:cs="仿宋"/>
          <w:sz w:val="32"/>
          <w:szCs w:val="32"/>
        </w:rPr>
        <w:t>当次采购物资相关信息，生成物资采购清单</w:t>
      </w:r>
      <w:r>
        <w:rPr>
          <w:rFonts w:hint="eastAsia" w:ascii="仿宋" w:hAnsi="仿宋" w:eastAsia="仿宋"/>
          <w:sz w:val="32"/>
          <w:szCs w:val="32"/>
        </w:rPr>
        <w:t>，并要求供应商在制作投标文件时录入物资分项报价。</w:t>
      </w:r>
    </w:p>
    <w:p>
      <w:pPr>
        <w:numPr>
          <w:ilvl w:val="0"/>
          <w:numId w:val="1"/>
        </w:numPr>
        <w:spacing w:line="560" w:lineRule="exact"/>
        <w:ind w:firstLine="752" w:firstLineChars="235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采购计划</w:t>
      </w:r>
    </w:p>
    <w:p>
      <w:pPr>
        <w:spacing w:line="560" w:lineRule="exact"/>
        <w:ind w:firstLine="752" w:firstLineChars="23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（一）采购计划制定 </w:t>
      </w:r>
    </w:p>
    <w:p>
      <w:pPr>
        <w:spacing w:line="560" w:lineRule="exact"/>
        <w:ind w:firstLine="752" w:firstLineChars="23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.采购计划制定时需选择本计划的采购类型，分为“设备”、“配件”、“材料”、“其他”4类。</w:t>
      </w:r>
    </w:p>
    <w:p>
      <w:r>
        <w:drawing>
          <wp:inline distT="0" distB="0" distL="114300" distR="114300">
            <wp:extent cx="5271135" cy="281686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0" cy="28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.其中设备类采购计划，添加每条物资时需设置“二级分项报价”。“必须报价”表示投标人制作文件时，必须针对此物资进行二级分项物资的填写和报价；“非必须报价”表示投标人制作文件时，不强制要求针对此物资进行二级分项物资的填写和报价。</w:t>
      </w:r>
    </w:p>
    <w:p>
      <w:r>
        <w:drawing>
          <wp:inline distT="0" distB="0" distL="114300" distR="114300">
            <wp:extent cx="5263515" cy="24625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144" cy="24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.若进行批量导入物资，则在物资导入模板里需要填写二级分项报价，是代表“必须报价”，否代表“非必须报价”。</w:t>
      </w:r>
    </w:p>
    <w:p>
      <w:r>
        <w:drawing>
          <wp:inline distT="0" distB="0" distL="114300" distR="114300">
            <wp:extent cx="5270500" cy="140081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408" cy="14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（二）采购计划分派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采购计划分派无变化，根据页面内容填写即可。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04" w:firstLineChars="189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招标采购立项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（一）新增招标采购立项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2"/>
          <w:szCs w:val="32"/>
        </w:rPr>
        <w:t>按照项目类型选择工程类、货物类、服务类。</w:t>
      </w:r>
    </w:p>
    <w:p>
      <w:pPr>
        <w:rPr>
          <w:b/>
          <w:bCs/>
        </w:rPr>
      </w:pPr>
      <w:r>
        <w:drawing>
          <wp:inline distT="0" distB="0" distL="114300" distR="114300">
            <wp:extent cx="5271770" cy="166624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913" cy="16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（二）立项时的注意事项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若项目类型是“货物类”，则在保存标段信息时，判断是否关联采购任务计划，未关联做出提醒。</w:t>
      </w:r>
    </w:p>
    <w:p>
      <w:r>
        <w:drawing>
          <wp:inline distT="0" distB="0" distL="114300" distR="114300">
            <wp:extent cx="5271135" cy="2388870"/>
            <wp:effectExtent l="0" t="0" r="571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178" cy="23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4" w:firstLineChars="189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编制招标/采购文件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（一）选择文件模板</w:t>
      </w:r>
    </w:p>
    <w:p>
      <w:pPr>
        <w:spacing w:line="560" w:lineRule="exact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在制作招标/采购文件时，系统判断若采购计划的采购类型是“设备”、“配件”、“材料”，则必须选择“中原云商通用简易范本（含物资分项报价）”模板。</w:t>
      </w:r>
    </w:p>
    <w:p>
      <w:r>
        <w:drawing>
          <wp:inline distT="0" distB="0" distL="114300" distR="114300">
            <wp:extent cx="5261610" cy="3185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360" cy="31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（二）物资分项报价表</w:t>
      </w:r>
    </w:p>
    <w:p>
      <w:pPr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在使用“中原云商通用简易范本（含物资分项报价）”模板制作文件时，可对采购计划中的物资进行新增、删除、修改。</w:t>
      </w:r>
    </w:p>
    <w:p>
      <w:r>
        <w:drawing>
          <wp:inline distT="0" distB="0" distL="114300" distR="114300">
            <wp:extent cx="5273040" cy="1327150"/>
            <wp:effectExtent l="0" t="0" r="38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984" cy="13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spacing w:line="360" w:lineRule="auto"/>
        <w:jc w:val="center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第二章 专家评委操作（多轮报价）</w:t>
      </w:r>
    </w:p>
    <w:p>
      <w:pPr>
        <w:spacing w:line="360" w:lineRule="auto"/>
        <w:ind w:firstLine="755" w:firstLineChars="236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一、开启多轮报价</w:t>
      </w:r>
    </w:p>
    <w:p>
      <w:pPr>
        <w:spacing w:line="360" w:lineRule="auto"/>
        <w:ind w:firstLine="758" w:firstLineChars="236"/>
        <w:rPr>
          <w:rFonts w:ascii="黑体" w:hAnsi="黑体" w:eastAsia="黑体" w:cs="黑体"/>
          <w:color w:val="FF0000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说明</w:t>
      </w:r>
      <w:r>
        <w:rPr>
          <w:rFonts w:hint="eastAsia" w:ascii="仿宋" w:hAnsi="仿宋" w:eastAsia="仿宋"/>
          <w:sz w:val="32"/>
          <w:szCs w:val="32"/>
        </w:rPr>
        <w:t>：适用于货物类采购项目进行网上全流程谈判采购、询比采购、单一来源采购方式，且编制采购文件时选择的是含有多轮报价的评标办法。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（一）若项目需要多轮报价，进入多轮报价页面，设置本轮报价时长后，可点击“开启报价”按钮，</w:t>
      </w:r>
    </w:p>
    <w:p>
      <w:pPr>
        <w:spacing w:line="360" w:lineRule="auto"/>
      </w:pPr>
      <w:r>
        <w:drawing>
          <wp:inline distT="0" distB="0" distL="114300" distR="114300">
            <wp:extent cx="5266055" cy="2574290"/>
            <wp:effectExtent l="0" t="0" r="0" b="0"/>
            <wp:docPr id="999185862" name="图片 99918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85862" name="图片 9991858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669" cy="25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</w:pPr>
      <w:r>
        <w:rPr>
          <w:rFonts w:hint="eastAsia" w:ascii="仿宋" w:hAnsi="仿宋" w:eastAsia="仿宋"/>
          <w:sz w:val="32"/>
          <w:szCs w:val="32"/>
        </w:rPr>
        <w:t>（二）此时会弹出确认物资页面，可在此页面上进行新增、修改、删除物资。若无需修改物资，则直接关闭此页面。</w:t>
      </w:r>
      <w:r>
        <w:drawing>
          <wp:inline distT="0" distB="0" distL="114300" distR="114300">
            <wp:extent cx="5266055" cy="2430145"/>
            <wp:effectExtent l="0" t="0" r="0" b="8255"/>
            <wp:docPr id="1348446950" name="图片 134844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46950" name="图片 13484469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300" cy="24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（三）新增或删除物资时，需填写物资相关信息，设备类物资必须设置是否必须二级分项报价。</w:t>
      </w:r>
    </w:p>
    <w:p>
      <w:pPr>
        <w:spacing w:line="360" w:lineRule="auto"/>
      </w:pPr>
      <w:r>
        <w:drawing>
          <wp:inline distT="0" distB="0" distL="114300" distR="114300">
            <wp:extent cx="5266690" cy="32994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（四）关闭确认物资信息页面后，点击确定按钮即可开启本轮报价。</w:t>
      </w:r>
    </w:p>
    <w:p>
      <w:pPr>
        <w:spacing w:line="360" w:lineRule="auto"/>
      </w:pPr>
      <w:r>
        <w:drawing>
          <wp:inline distT="0" distB="0" distL="114300" distR="114300">
            <wp:extent cx="5266690" cy="30403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 w:firstLineChars="189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567" w:firstLineChars="189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604" w:firstLineChars="189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二、查看报价</w:t>
      </w: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（一）选择轮次后，点击报价查看，可查看本轮报价情况。</w:t>
      </w:r>
    </w:p>
    <w:p>
      <w:pPr>
        <w:spacing w:line="360" w:lineRule="auto"/>
      </w:pPr>
      <w:r>
        <w:drawing>
          <wp:inline distT="0" distB="0" distL="114300" distR="114300">
            <wp:extent cx="5266690" cy="3009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（二）报价截止时间之前，若有投标人未提交报价，则不允许查看；可通过点击报价查看后的提醒知道哪些投标单位未提交报价。</w:t>
      </w:r>
    </w:p>
    <w:p>
      <w:pPr>
        <w:spacing w:line="360" w:lineRule="auto"/>
      </w:pPr>
      <w:r>
        <w:drawing>
          <wp:inline distT="0" distB="0" distL="114300" distR="114300">
            <wp:extent cx="5266690" cy="2987040"/>
            <wp:effectExtent l="0" t="0" r="0" b="3810"/>
            <wp:docPr id="984473012" name="图片 9844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73012" name="图片 984473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（三）若某一轮报价有投标单位未提交报价，则本轮报价时间为空，报价获取最近一轮提交报价的价格。</w:t>
      </w:r>
    </w:p>
    <w:p>
      <w:pPr>
        <w:spacing w:line="360" w:lineRule="auto"/>
      </w:pPr>
      <w:r>
        <w:drawing>
          <wp:inline distT="0" distB="0" distL="114300" distR="114300">
            <wp:extent cx="5262880" cy="2849880"/>
            <wp:effectExtent l="0" t="0" r="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4" w:firstLineChars="189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三、结束报价</w:t>
      </w: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（一）若无需供应商再次报价，则点击结束报价，结束整个多轮报价环节。</w:t>
      </w: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（二）结束报价后若还需再开启报价，则可点击重置报价结束。</w:t>
      </w:r>
    </w:p>
    <w:p>
      <w:pPr>
        <w:spacing w:line="360" w:lineRule="auto"/>
      </w:pPr>
      <w:r>
        <w:drawing>
          <wp:inline distT="0" distB="0" distL="114300" distR="114300">
            <wp:extent cx="5266690" cy="263652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center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第三章 投标人操作手册</w:t>
      </w:r>
    </w:p>
    <w:p>
      <w:pPr>
        <w:spacing w:line="360" w:lineRule="auto"/>
        <w:ind w:firstLine="755" w:firstLineChars="236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一、物资分项报价表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（一）在制作投标文件时，若投标文件格式中有“物资分项报价表”节点，则必须对物资进行分项报价。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（二）物资分项报价表中有“二级报价”列时，若显示“报价（必须）”字样，则必须针对此物资进行二级分项物资的填写和报价；若显示“</w:t>
      </w:r>
      <w:bookmarkStart w:id="1" w:name="_GoBack"/>
      <w:bookmarkEnd w:id="1"/>
      <w:r>
        <w:rPr>
          <w:rFonts w:hint="eastAsia" w:ascii="仿宋" w:hAnsi="仿宋" w:eastAsia="仿宋"/>
          <w:sz w:val="32"/>
          <w:szCs w:val="32"/>
        </w:rPr>
        <w:t>报价”字样，则不强制要求针对此物资进行二级分项物资的填写和报价，投标人可根据需要填写。</w:t>
      </w:r>
    </w:p>
    <w:p>
      <w:pPr>
        <w:spacing w:line="360" w:lineRule="auto"/>
      </w:pPr>
      <w:r>
        <w:drawing>
          <wp:inline distT="0" distB="0" distL="114300" distR="114300">
            <wp:extent cx="5266690" cy="2792730"/>
            <wp:effectExtent l="0" t="0" r="6350" b="11430"/>
            <wp:docPr id="1914624451" name="图片 191462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24451" name="图片 19146244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（三）物资分项报价表中无“二级报价”列时，则针对本项目要求的物资进行分项报价即可。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（四）投标人进行物资分项报价（含二级报价时），可下载模板并填写报价后导入。</w:t>
      </w:r>
    </w:p>
    <w:p>
      <w:pPr>
        <w:spacing w:line="360" w:lineRule="auto"/>
      </w:pPr>
      <w:r>
        <w:drawing>
          <wp:inline distT="0" distB="0" distL="114300" distR="114300">
            <wp:extent cx="5268595" cy="3033395"/>
            <wp:effectExtent l="0" t="0" r="1905" b="1905"/>
            <wp:docPr id="1570221856" name="图片 157022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21856" name="图片 15702218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755" w:firstLineChars="236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生成投标文件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（一）若有必须进行二级报价的物资，未填写二级物资报价会提醒转换失败。</w:t>
      </w:r>
    </w:p>
    <w:p>
      <w:pPr>
        <w:spacing w:line="360" w:lineRule="auto"/>
      </w:pPr>
      <w:r>
        <w:drawing>
          <wp:inline distT="0" distB="0" distL="114300" distR="114300">
            <wp:extent cx="5273675" cy="2854960"/>
            <wp:effectExtent l="0" t="0" r="14605" b="10160"/>
            <wp:docPr id="1879609303" name="图片 187960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09303" name="图片 18796093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（二）需保证二级物资分项报价之和与一级物资报价一致，若不一致会提醒转换失败。</w:t>
      </w:r>
    </w:p>
    <w:p>
      <w:pPr>
        <w:spacing w:line="360" w:lineRule="auto"/>
      </w:pPr>
      <w:r>
        <w:drawing>
          <wp:inline distT="0" distB="0" distL="114300" distR="114300">
            <wp:extent cx="5273675" cy="2854960"/>
            <wp:effectExtent l="0" t="0" r="14605" b="10160"/>
            <wp:docPr id="1629658528" name="图片 162965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58528" name="图片 16296585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（三）项目投标报价需与分项报价之和一致，不一致无法生成投标文件。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114300" distR="114300">
            <wp:extent cx="5274310" cy="3052445"/>
            <wp:effectExtent l="0" t="0" r="13970" b="10795"/>
            <wp:docPr id="607059386" name="图片 60705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9386" name="图片 6070593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55" w:firstLineChars="236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三、评审环节供应商多轮报价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（一）项目开启多轮报价后，点击参与报价按钮，进入报价页面。</w:t>
      </w:r>
    </w:p>
    <w:p>
      <w:pPr>
        <w:spacing w:line="360" w:lineRule="auto"/>
      </w:pPr>
      <w:r>
        <w:drawing>
          <wp:inline distT="0" distB="0" distL="114300" distR="114300">
            <wp:extent cx="5269230" cy="2358390"/>
            <wp:effectExtent l="0" t="0" r="3810" b="3810"/>
            <wp:docPr id="1361842168" name="图片 136184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42168" name="图片 13618421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 w:firstLineChars="189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（二）点击下方“新增报价”，进入物资分项报价页面。</w:t>
      </w:r>
    </w:p>
    <w:p>
      <w:pPr>
        <w:spacing w:line="360" w:lineRule="auto"/>
      </w:pPr>
      <w:r>
        <w:drawing>
          <wp:inline distT="0" distB="0" distL="114300" distR="114300">
            <wp:extent cx="5269230" cy="2374900"/>
            <wp:effectExtent l="0" t="0" r="3810" b="2540"/>
            <wp:docPr id="2052239313" name="图片 205223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39313" name="图片 20522393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4" w:firstLineChars="18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（三）供应商可填写每行物资的税率、未税单价，系统自动计算含税单价、含税总价。也可导出模板后导入报价。</w:t>
      </w:r>
    </w:p>
    <w:p>
      <w:pPr>
        <w:spacing w:line="360" w:lineRule="auto"/>
      </w:pPr>
      <w:r>
        <w:drawing>
          <wp:inline distT="0" distB="0" distL="114300" distR="114300">
            <wp:extent cx="5272405" cy="1798955"/>
            <wp:effectExtent l="0" t="0" r="4445" b="0"/>
            <wp:docPr id="1994922947" name="图片 199492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22947" name="图片 19949229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6414" cy="18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2"/>
          <w:szCs w:val="32"/>
        </w:rPr>
        <w:t>（四）若物资需要进行二级报价，则点击二级报价，点击增加，可填写二级物资信息和报价。</w:t>
      </w:r>
      <w:r>
        <w:drawing>
          <wp:inline distT="0" distB="0" distL="114300" distR="114300">
            <wp:extent cx="5273675" cy="1813560"/>
            <wp:effectExtent l="0" t="0" r="3175" b="0"/>
            <wp:docPr id="1277867098" name="图片 127786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67098" name="图片 12778670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8572" cy="18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4" w:firstLineChars="189"/>
        <w:jc w:val="left"/>
        <w:rPr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（五）填写完二级物资信息和报价后点击“修改保存”，物资信息和报价也可导出模板后导入。</w:t>
      </w:r>
    </w:p>
    <w:p>
      <w:pPr>
        <w:spacing w:line="360" w:lineRule="auto"/>
      </w:pPr>
      <w:r>
        <w:drawing>
          <wp:inline distT="0" distB="0" distL="114300" distR="114300">
            <wp:extent cx="5266690" cy="2595245"/>
            <wp:effectExtent l="0" t="0" r="0" b="0"/>
            <wp:docPr id="1073361013" name="图片 107336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1013" name="图片 10733610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332" cy="25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（六）填写报价后点击左上角“保存并关闭”。</w:t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1.若一级物资报价与二级物资报价之和不一致，不允许保存。</w:t>
      </w:r>
    </w:p>
    <w:p>
      <w:pPr>
        <w:spacing w:line="360" w:lineRule="auto"/>
      </w:pPr>
      <w:r>
        <w:drawing>
          <wp:inline distT="0" distB="0" distL="114300" distR="114300">
            <wp:extent cx="5262880" cy="2595245"/>
            <wp:effectExtent l="0" t="0" r="0" b="0"/>
            <wp:docPr id="866451860" name="图片 86645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51860" name="图片 8664518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118" cy="25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2.若未填写必须二级报价的物资，不允许保存。</w:t>
      </w:r>
    </w:p>
    <w:p>
      <w:pPr>
        <w:spacing w:line="360" w:lineRule="auto"/>
      </w:pPr>
      <w:r>
        <w:drawing>
          <wp:inline distT="0" distB="0" distL="114300" distR="114300">
            <wp:extent cx="5271770" cy="2846070"/>
            <wp:effectExtent l="0" t="0" r="5080" b="0"/>
            <wp:docPr id="734637174" name="图片 73463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37174" name="图片 73463717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495" cy="28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（七）录入报价后可修改，若需上传附件，则点击上传附件。</w:t>
      </w:r>
    </w:p>
    <w:p>
      <w:pPr>
        <w:spacing w:line="360" w:lineRule="auto"/>
      </w:pPr>
      <w:r>
        <w:drawing>
          <wp:inline distT="0" distB="0" distL="114300" distR="114300">
            <wp:extent cx="5266690" cy="32810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263" cy="32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（八）报价填写无误后，需点击签章按钮，对报价单进行签章。</w:t>
      </w:r>
    </w:p>
    <w:p>
      <w:pPr>
        <w:spacing w:line="360" w:lineRule="auto"/>
      </w:pPr>
      <w:r>
        <w:drawing>
          <wp:inline distT="0" distB="0" distL="114300" distR="114300">
            <wp:extent cx="5274310" cy="30600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978" cy="306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08" w:firstLineChars="236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755" w:firstLineChars="23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（九）签章完成后，可点击提交报价，完成本轮报价。</w:t>
      </w:r>
    </w:p>
    <w:p>
      <w:pPr>
        <w:spacing w:line="360" w:lineRule="auto"/>
      </w:pPr>
      <w:r>
        <w:drawing>
          <wp:inline distT="0" distB="0" distL="114300" distR="114300">
            <wp:extent cx="5273040" cy="2684145"/>
            <wp:effectExtent l="0" t="0" r="381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945" cy="26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DB33A1"/>
    <w:multiLevelType w:val="singleLevel"/>
    <w:tmpl w:val="49DB33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4FAA82"/>
    <w:multiLevelType w:val="singleLevel"/>
    <w:tmpl w:val="7A4FAA8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iMGE5Zjk1OGYwNTQzNTRmNjk2N2Q0NWY2MDRhMDkifQ=="/>
  </w:docVars>
  <w:rsids>
    <w:rsidRoot w:val="00EE0407"/>
    <w:rsid w:val="000022F1"/>
    <w:rsid w:val="00142639"/>
    <w:rsid w:val="002660B1"/>
    <w:rsid w:val="00276113"/>
    <w:rsid w:val="00291D41"/>
    <w:rsid w:val="00294259"/>
    <w:rsid w:val="003659E5"/>
    <w:rsid w:val="0040600F"/>
    <w:rsid w:val="0045201D"/>
    <w:rsid w:val="004D03A9"/>
    <w:rsid w:val="005A060F"/>
    <w:rsid w:val="00660FD4"/>
    <w:rsid w:val="0069700F"/>
    <w:rsid w:val="006D0151"/>
    <w:rsid w:val="007002E3"/>
    <w:rsid w:val="007A71F8"/>
    <w:rsid w:val="00872FAE"/>
    <w:rsid w:val="008C02C9"/>
    <w:rsid w:val="008D6F23"/>
    <w:rsid w:val="00900B25"/>
    <w:rsid w:val="009155F3"/>
    <w:rsid w:val="0092427B"/>
    <w:rsid w:val="00931D05"/>
    <w:rsid w:val="00955208"/>
    <w:rsid w:val="009E60B8"/>
    <w:rsid w:val="009F1D31"/>
    <w:rsid w:val="00A64505"/>
    <w:rsid w:val="00AC6B7B"/>
    <w:rsid w:val="00B307A8"/>
    <w:rsid w:val="00B46E8B"/>
    <w:rsid w:val="00B60931"/>
    <w:rsid w:val="00C156E3"/>
    <w:rsid w:val="00C16460"/>
    <w:rsid w:val="00C3202F"/>
    <w:rsid w:val="00C34ADE"/>
    <w:rsid w:val="00C472A2"/>
    <w:rsid w:val="00D049D1"/>
    <w:rsid w:val="00D74626"/>
    <w:rsid w:val="00E936B6"/>
    <w:rsid w:val="00EA396E"/>
    <w:rsid w:val="00EA4C5B"/>
    <w:rsid w:val="00EE0407"/>
    <w:rsid w:val="00FA5F54"/>
    <w:rsid w:val="15812B74"/>
    <w:rsid w:val="20422B84"/>
    <w:rsid w:val="28CA005B"/>
    <w:rsid w:val="29654D67"/>
    <w:rsid w:val="319C767A"/>
    <w:rsid w:val="4D0A568C"/>
    <w:rsid w:val="50517338"/>
    <w:rsid w:val="61B159A8"/>
    <w:rsid w:val="641D3EAD"/>
    <w:rsid w:val="730D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  <w:bCs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  <w:rPr>
      <w:b/>
      <w:bCs/>
    </w:rPr>
  </w:style>
  <w:style w:type="character" w:styleId="9">
    <w:name w:val="HTML Definition"/>
    <w:basedOn w:val="5"/>
    <w:qFormat/>
    <w:uiPriority w:val="0"/>
  </w:style>
  <w:style w:type="character" w:styleId="10">
    <w:name w:val="HTML Typewriter"/>
    <w:basedOn w:val="5"/>
    <w:qFormat/>
    <w:uiPriority w:val="0"/>
    <w:rPr>
      <w:rFonts w:ascii="monospace" w:hAnsi="monospace" w:eastAsia="monospace" w:cs="monospace"/>
      <w:sz w:val="20"/>
    </w:rPr>
  </w:style>
  <w:style w:type="character" w:styleId="11">
    <w:name w:val="HTML Acronym"/>
    <w:basedOn w:val="5"/>
    <w:qFormat/>
    <w:uiPriority w:val="0"/>
  </w:style>
  <w:style w:type="character" w:styleId="12">
    <w:name w:val="HTML Variable"/>
    <w:basedOn w:val="5"/>
    <w:qFormat/>
    <w:uiPriority w:val="0"/>
  </w:style>
  <w:style w:type="character" w:styleId="13">
    <w:name w:val="Hyperlink"/>
    <w:basedOn w:val="5"/>
    <w:qFormat/>
    <w:uiPriority w:val="0"/>
    <w:rPr>
      <w:color w:val="0000FF"/>
      <w:u w:val="none"/>
    </w:rPr>
  </w:style>
  <w:style w:type="character" w:styleId="14">
    <w:name w:val="HTML Code"/>
    <w:basedOn w:val="5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Cite"/>
    <w:basedOn w:val="5"/>
    <w:qFormat/>
    <w:uiPriority w:val="0"/>
  </w:style>
  <w:style w:type="character" w:styleId="16">
    <w:name w:val="HTML Keyboard"/>
    <w:basedOn w:val="5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Sample"/>
    <w:basedOn w:val="5"/>
    <w:qFormat/>
    <w:uiPriority w:val="0"/>
    <w:rPr>
      <w:rFonts w:hint="default" w:ascii="monospace" w:hAnsi="monospace" w:eastAsia="monospace" w:cs="monospace"/>
    </w:rPr>
  </w:style>
  <w:style w:type="character" w:customStyle="1" w:styleId="18">
    <w:name w:val="before"/>
    <w:basedOn w:val="5"/>
    <w:qFormat/>
    <w:uiPriority w:val="0"/>
  </w:style>
  <w:style w:type="character" w:customStyle="1" w:styleId="19">
    <w:name w:val="before1"/>
    <w:basedOn w:val="5"/>
    <w:qFormat/>
    <w:uiPriority w:val="0"/>
  </w:style>
  <w:style w:type="character" w:customStyle="1" w:styleId="20">
    <w:name w:val="hover1"/>
    <w:basedOn w:val="5"/>
    <w:qFormat/>
    <w:uiPriority w:val="0"/>
    <w:rPr>
      <w:color w:val="2590EB"/>
    </w:rPr>
  </w:style>
  <w:style w:type="character" w:customStyle="1" w:styleId="21">
    <w:name w:val="hover2"/>
    <w:basedOn w:val="5"/>
    <w:qFormat/>
    <w:uiPriority w:val="0"/>
    <w:rPr>
      <w:color w:val="2590EB"/>
    </w:rPr>
  </w:style>
  <w:style w:type="character" w:customStyle="1" w:styleId="22">
    <w:name w:val="hover3"/>
    <w:basedOn w:val="5"/>
    <w:qFormat/>
    <w:uiPriority w:val="0"/>
  </w:style>
  <w:style w:type="character" w:customStyle="1" w:styleId="23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290</Words>
  <Characters>1654</Characters>
  <Lines>13</Lines>
  <Paragraphs>3</Paragraphs>
  <TotalTime>53</TotalTime>
  <ScaleCrop>false</ScaleCrop>
  <LinksUpToDate>false</LinksUpToDate>
  <CharactersWithSpaces>1941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2023-06-27T00:54:00Z</dcterms:created>
  <dc:creator>junyu</dc:creator>
  <cp:lastModifiedBy>李佳恬</cp:lastModifiedBy>
  <dcterms:modified xsi:type="dcterms:W3CDTF">2023-10-07T03:23:24Z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CEF16A6AA79F4E24BEEF6E2F6C12C577_13</vt:lpwstr>
  </property>
</Properties>
</file>