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813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</w:pPr>
    </w:p>
    <w:p w14:paraId="3DC3C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522" w:firstLineChars="100"/>
        <w:jc w:val="both"/>
        <w:textAlignment w:val="auto"/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</w:pPr>
    </w:p>
    <w:p w14:paraId="150558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522" w:firstLineChars="100"/>
        <w:jc w:val="both"/>
        <w:textAlignment w:val="auto"/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</w:pPr>
      <w:r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  <w:t>中原云商（招投标）金融服务平台</w:t>
      </w:r>
    </w:p>
    <w:p w14:paraId="7AB41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</w:pPr>
      <w:r>
        <w:rPr>
          <w:rFonts w:hint="eastAsia" w:eastAsia="思源黑体 CN Regular"/>
          <w:b/>
          <w:sz w:val="52"/>
          <w:lang w:val="en-US" w:eastAsia="zh-CN"/>
        </w:rPr>
        <w:t>电子保函业务</w:t>
      </w:r>
      <w:r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  <w:t>操作手册</w:t>
      </w:r>
    </w:p>
    <w:p w14:paraId="5BE14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</w:pPr>
      <w:r>
        <w:rPr>
          <w:rFonts w:hint="eastAsia" w:ascii="Times New Roman" w:hAnsi="Times New Roman" w:eastAsia="思源黑体 CN Regular" w:cs="Times New Roman"/>
          <w:b/>
          <w:sz w:val="52"/>
          <w:lang w:val="en-US" w:eastAsia="zh-CN"/>
        </w:rPr>
        <w:t>采购人端</w:t>
      </w:r>
    </w:p>
    <w:p w14:paraId="1BC3C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 w:cs="Times New Roman"/>
          <w:b/>
          <w:spacing w:val="200"/>
          <w:kern w:val="20"/>
          <w:sz w:val="32"/>
        </w:rPr>
        <w:sectPr>
          <w:headerReference r:id="rId3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</w:p>
    <w:p w14:paraId="4E255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 w:cs="Times New Roman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 w:cs="Times New Roman"/>
          <w:b/>
          <w:spacing w:val="200"/>
          <w:kern w:val="20"/>
          <w:sz w:val="32"/>
        </w:rPr>
        <w:t>目录</w:t>
      </w:r>
    </w:p>
    <w:p w14:paraId="447FE787">
      <w:pPr>
        <w:pStyle w:val="6"/>
        <w:tabs>
          <w:tab w:val="right" w:leader="dot" w:pos="8306"/>
        </w:tabs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instrText xml:space="preserve">TOC \o "1-3" \h \u </w:instrText>
      </w: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eastAsia="思源宋体 CN Light" w:cs="Times New Roman"/>
          <w:kern w:val="2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eastAsia="思源宋体 CN Light" w:cs="Times New Roman"/>
          <w:kern w:val="2"/>
          <w:szCs w:val="24"/>
          <w:lang w:val="en-US" w:eastAsia="zh-CN" w:bidi="ar-SA"/>
        </w:rPr>
        <w:instrText xml:space="preserve"> HYPERLINK \l _Toc17384 </w:instrText>
      </w:r>
      <w:r>
        <w:rPr>
          <w:rFonts w:hint="eastAsia" w:ascii="Times New Roman" w:hAnsi="Times New Roman" w:eastAsia="思源宋体 CN Light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一、 </w:t>
      </w:r>
      <w:r>
        <w:rPr>
          <w:rFonts w:hint="eastAsia" w:ascii="Times New Roman" w:hAnsi="Times New Roman" w:eastAsia="思源宋体 CN Light"/>
          <w:lang w:val="en-US" w:eastAsia="zh-CN"/>
        </w:rPr>
        <w:t>查看投标人保证金或电子保函缴纳情况</w:t>
      </w:r>
      <w:r>
        <w:tab/>
      </w:r>
      <w:r>
        <w:fldChar w:fldCharType="begin"/>
      </w:r>
      <w:r>
        <w:instrText xml:space="preserve"> PAGEREF _Toc17384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Times New Roman" w:hAnsi="Times New Roman" w:eastAsia="思源宋体 CN Light" w:cs="Times New Roman"/>
          <w:kern w:val="2"/>
          <w:szCs w:val="24"/>
          <w:lang w:val="en-US" w:eastAsia="zh-CN" w:bidi="ar-SA"/>
        </w:rPr>
        <w:fldChar w:fldCharType="end"/>
      </w:r>
    </w:p>
    <w:p w14:paraId="740D3C05"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begin"/>
      </w:r>
      <w:r>
        <w:rPr>
          <w:rFonts w:hint="eastAsia" w:ascii="Times New Roman" w:hAnsi="Times New Roman" w:eastAsia="思源宋体 CN Light" w:cs="Times New Roman"/>
          <w:lang w:val="en-US" w:eastAsia="zh-CN"/>
        </w:rPr>
        <w:instrText xml:space="preserve"> HYPERLINK \l _Toc14450 </w:instrText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1.1、 </w:t>
      </w:r>
      <w:r>
        <w:rPr>
          <w:rFonts w:hint="eastAsia" w:ascii="Times New Roman" w:hAnsi="Times New Roman" w:eastAsia="思源宋体 CN Light"/>
          <w:lang w:val="en-US" w:eastAsia="zh-CN"/>
        </w:rPr>
        <w:t>开标前对缴纳数目进行查询</w:t>
      </w:r>
      <w:r>
        <w:tab/>
      </w:r>
      <w:r>
        <w:fldChar w:fldCharType="begin"/>
      </w:r>
      <w:r>
        <w:instrText xml:space="preserve"> PAGEREF _Toc14450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end"/>
      </w:r>
    </w:p>
    <w:p w14:paraId="037CD158"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begin"/>
      </w:r>
      <w:r>
        <w:rPr>
          <w:rFonts w:hint="eastAsia" w:ascii="Times New Roman" w:hAnsi="Times New Roman" w:eastAsia="思源宋体 CN Light" w:cs="Times New Roman"/>
          <w:lang w:val="en-US" w:eastAsia="zh-CN"/>
        </w:rPr>
        <w:instrText xml:space="preserve"> HYPERLINK \l _Toc25699 </w:instrText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1.2、 </w:t>
      </w:r>
      <w:r>
        <w:rPr>
          <w:rFonts w:hint="eastAsia" w:ascii="Times New Roman" w:hAnsi="Times New Roman" w:eastAsia="思源宋体 CN Light"/>
          <w:lang w:val="en-US" w:eastAsia="zh-CN"/>
        </w:rPr>
        <w:t>开标后对缴纳明细进行查询</w:t>
      </w:r>
      <w:r>
        <w:tab/>
      </w:r>
      <w:r>
        <w:fldChar w:fldCharType="begin"/>
      </w:r>
      <w:r>
        <w:instrText xml:space="preserve"> PAGEREF _Toc25699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end"/>
      </w:r>
    </w:p>
    <w:p w14:paraId="3F51A2D2">
      <w:pPr>
        <w:pStyle w:val="6"/>
        <w:tabs>
          <w:tab w:val="right" w:leader="dot" w:pos="8306"/>
        </w:tabs>
      </w:pP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begin"/>
      </w:r>
      <w:r>
        <w:rPr>
          <w:rFonts w:hint="eastAsia" w:ascii="Times New Roman" w:hAnsi="Times New Roman" w:eastAsia="思源宋体 CN Light" w:cs="Times New Roman"/>
          <w:lang w:val="en-US" w:eastAsia="zh-CN"/>
        </w:rPr>
        <w:instrText xml:space="preserve"> HYPERLINK \l _Toc335 </w:instrText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Tahoma"/>
          <w:lang w:val="en-US" w:eastAsia="zh-CN"/>
        </w:rPr>
        <w:t xml:space="preserve">二、 </w:t>
      </w:r>
      <w:r>
        <w:rPr>
          <w:rFonts w:hint="eastAsia" w:ascii="Times New Roman" w:hAnsi="Times New Roman" w:eastAsia="思源宋体 CN Light"/>
          <w:lang w:val="en-US" w:eastAsia="zh-CN"/>
        </w:rPr>
        <w:t>采购人发起保函理赔</w:t>
      </w:r>
      <w:r>
        <w:tab/>
      </w:r>
      <w:r>
        <w:fldChar w:fldCharType="begin"/>
      </w:r>
      <w:r>
        <w:instrText xml:space="preserve"> PAGEREF _Toc335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end"/>
      </w:r>
    </w:p>
    <w:p w14:paraId="1D657651">
      <w:pPr>
        <w:bidi w:val="0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624" w:footer="624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思源宋体 CN Light" w:cs="Times New Roman"/>
          <w:lang w:val="en-US" w:eastAsia="zh-CN"/>
        </w:rPr>
        <w:fldChar w:fldCharType="end"/>
      </w:r>
    </w:p>
    <w:p w14:paraId="4E13726B">
      <w:pPr>
        <w:pStyle w:val="3"/>
        <w:bidi w:val="0"/>
        <w:rPr>
          <w:rFonts w:hint="eastAsia" w:ascii="Times New Roman" w:hAnsi="Times New Roman" w:eastAsia="思源宋体 CN Light"/>
          <w:lang w:val="en-US" w:eastAsia="zh-CN"/>
        </w:rPr>
      </w:pPr>
      <w:bookmarkStart w:id="0" w:name="_Toc17384"/>
      <w:r>
        <w:rPr>
          <w:rFonts w:hint="eastAsia" w:ascii="Times New Roman" w:hAnsi="Times New Roman" w:eastAsia="思源宋体 CN Light"/>
          <w:lang w:val="en-US" w:eastAsia="zh-CN"/>
        </w:rPr>
        <w:t>查看投标人保证金或电子保函缴纳情况</w:t>
      </w:r>
      <w:bookmarkEnd w:id="0"/>
    </w:p>
    <w:p w14:paraId="1B6BE7A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23134BD">
      <w:pPr>
        <w:numPr>
          <w:ilvl w:val="0"/>
          <w:numId w:val="0"/>
        </w:numPr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采购人</w:t>
      </w:r>
      <w:r>
        <w:rPr>
          <w:rFonts w:hint="eastAsia" w:ascii="Times New Roman" w:eastAsia="宋体"/>
          <w:sz w:val="22"/>
          <w:szCs w:val="22"/>
          <w:lang w:val="en-US" w:eastAsia="zh-CN"/>
        </w:rPr>
        <w:t>在“财务管理-保证金</w:t>
      </w:r>
      <w:r>
        <w:rPr>
          <w:rFonts w:hint="eastAsia"/>
          <w:sz w:val="22"/>
          <w:szCs w:val="22"/>
          <w:lang w:val="en-US" w:eastAsia="zh-CN"/>
        </w:rPr>
        <w:t>管理-保证金查询”页面进行查询。</w:t>
      </w:r>
    </w:p>
    <w:p w14:paraId="690C1947">
      <w:pPr>
        <w:jc w:val="both"/>
      </w:pPr>
    </w:p>
    <w:p w14:paraId="6DDFCC8F">
      <w:p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7443">
      <w:pPr>
        <w:jc w:val="both"/>
        <w:rPr>
          <w:sz w:val="21"/>
          <w:szCs w:val="21"/>
        </w:rPr>
      </w:pPr>
    </w:p>
    <w:p w14:paraId="3A0E995E">
      <w:pPr>
        <w:pStyle w:val="4"/>
        <w:tabs>
          <w:tab w:val="left" w:pos="567"/>
        </w:tabs>
        <w:bidi w:val="0"/>
        <w:spacing w:line="360" w:lineRule="auto"/>
        <w:rPr>
          <w:rFonts w:hint="eastAsia" w:ascii="Times New Roman" w:hAnsi="Times New Roman" w:eastAsia="思源宋体 CN Light"/>
          <w:lang w:val="en-US" w:eastAsia="zh-CN"/>
        </w:rPr>
      </w:pPr>
      <w:bookmarkStart w:id="1" w:name="_Toc14450"/>
      <w:r>
        <w:rPr>
          <w:rFonts w:hint="eastAsia" w:ascii="Times New Roman" w:hAnsi="Times New Roman" w:eastAsia="思源宋体 CN Light"/>
          <w:lang w:val="en-US" w:eastAsia="zh-CN"/>
        </w:rPr>
        <w:t>开标前对缴纳数目进行查询</w:t>
      </w:r>
      <w:bookmarkEnd w:id="1"/>
    </w:p>
    <w:p w14:paraId="0082F1BF">
      <w:pPr>
        <w:numPr>
          <w:ilvl w:val="0"/>
          <w:numId w:val="0"/>
        </w:numPr>
        <w:ind w:firstLine="440" w:firstLineChars="200"/>
        <w:jc w:val="both"/>
        <w:rPr>
          <w:rFonts w:hint="eastAsia"/>
          <w:sz w:val="22"/>
          <w:szCs w:val="22"/>
          <w:lang w:val="en-US" w:eastAsia="zh-CN"/>
        </w:rPr>
      </w:pPr>
    </w:p>
    <w:p w14:paraId="0301F801">
      <w:pPr>
        <w:numPr>
          <w:ilvl w:val="0"/>
          <w:numId w:val="0"/>
        </w:numPr>
        <w:jc w:val="both"/>
      </w:pPr>
      <w:r>
        <w:rPr>
          <w:rFonts w:hint="eastAsia"/>
          <w:sz w:val="22"/>
          <w:szCs w:val="22"/>
          <w:lang w:val="en-US" w:eastAsia="zh-CN"/>
        </w:rPr>
        <w:t>在“全部”/“未开标”/“今日开标”中，找到需要作查询的项目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252349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BCA1">
      <w:pPr>
        <w:jc w:val="both"/>
      </w:pPr>
    </w:p>
    <w:p w14:paraId="149ED09B">
      <w:pPr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点击“数目”列的放大镜进行查询</w:t>
      </w:r>
    </w:p>
    <w:p w14:paraId="7986531F">
      <w:p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2B22">
      <w:pPr>
        <w:jc w:val="both"/>
      </w:pPr>
    </w:p>
    <w:p w14:paraId="572A9E68">
      <w:pPr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点击左上角“查询数目”后，数目结果会显示在“缴纳情况”中</w:t>
      </w:r>
    </w:p>
    <w:p w14:paraId="0F0E69EB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349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13F8">
      <w:pPr>
        <w:jc w:val="both"/>
        <w:rPr>
          <w:rFonts w:hint="default"/>
          <w:highlight w:val="yellow"/>
          <w:lang w:val="en-US" w:eastAsia="zh-CN"/>
        </w:rPr>
      </w:pPr>
    </w:p>
    <w:p w14:paraId="090C0360">
      <w:pPr>
        <w:jc w:val="both"/>
        <w:rPr>
          <w:rFonts w:hint="eastAsia"/>
          <w:sz w:val="21"/>
          <w:szCs w:val="21"/>
          <w:lang w:val="en-US" w:eastAsia="zh-CN"/>
        </w:rPr>
      </w:pPr>
    </w:p>
    <w:p w14:paraId="042F9A08">
      <w:pPr>
        <w:pStyle w:val="4"/>
        <w:tabs>
          <w:tab w:val="left" w:pos="567"/>
        </w:tabs>
        <w:bidi w:val="0"/>
        <w:spacing w:line="360" w:lineRule="auto"/>
        <w:rPr>
          <w:rFonts w:hint="eastAsia" w:ascii="Times New Roman" w:hAnsi="Times New Roman" w:eastAsia="思源宋体 CN Light"/>
          <w:lang w:val="en-US" w:eastAsia="zh-CN"/>
        </w:rPr>
      </w:pPr>
      <w:bookmarkStart w:id="2" w:name="_Toc25699"/>
      <w:r>
        <w:rPr>
          <w:rFonts w:hint="eastAsia" w:ascii="Times New Roman" w:hAnsi="Times New Roman" w:eastAsia="思源宋体 CN Light"/>
          <w:lang w:val="en-US" w:eastAsia="zh-CN"/>
        </w:rPr>
        <w:t>开标后对缴纳明细进行查询</w:t>
      </w:r>
      <w:bookmarkEnd w:id="2"/>
    </w:p>
    <w:p w14:paraId="30701F9A">
      <w:pPr>
        <w:numPr>
          <w:ilvl w:val="0"/>
          <w:numId w:val="0"/>
        </w:numPr>
        <w:jc w:val="both"/>
        <w:rPr>
          <w:rFonts w:hint="eastAsia" w:asciiTheme="minorHAnsi" w:eastAsiaTheme="minorEastAsia"/>
          <w:sz w:val="22"/>
          <w:szCs w:val="22"/>
          <w:lang w:val="en-US" w:eastAsia="zh-CN"/>
        </w:rPr>
      </w:pPr>
    </w:p>
    <w:p w14:paraId="68EAC699">
      <w:pPr>
        <w:numPr>
          <w:ilvl w:val="0"/>
          <w:numId w:val="0"/>
        </w:numPr>
        <w:jc w:val="both"/>
        <w:rPr>
          <w:rFonts w:hint="eastAsia" w:asciiTheme="minorHAnsi" w:eastAsiaTheme="minorEastAsia"/>
          <w:sz w:val="22"/>
          <w:szCs w:val="22"/>
          <w:lang w:val="en-US" w:eastAsia="zh-CN"/>
        </w:rPr>
      </w:pPr>
      <w:r>
        <w:rPr>
          <w:rFonts w:hint="eastAsia" w:asciiTheme="minorHAnsi" w:eastAsiaTheme="minorEastAsia"/>
          <w:sz w:val="22"/>
          <w:szCs w:val="22"/>
          <w:lang w:val="en-US" w:eastAsia="zh-CN"/>
        </w:rPr>
        <w:t>在“全部”</w:t>
      </w:r>
      <w:r>
        <w:rPr>
          <w:rFonts w:hint="eastAsia"/>
          <w:sz w:val="22"/>
          <w:szCs w:val="22"/>
          <w:lang w:val="en-US" w:eastAsia="zh-CN"/>
        </w:rPr>
        <w:t>/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今日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开标”</w:t>
      </w:r>
      <w:r>
        <w:rPr>
          <w:rFonts w:hint="eastAsia"/>
          <w:sz w:val="22"/>
          <w:szCs w:val="22"/>
          <w:lang w:val="en-US" w:eastAsia="zh-CN"/>
        </w:rPr>
        <w:t>/“已开标”中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，找到需要作查询的项目</w:t>
      </w:r>
    </w:p>
    <w:p w14:paraId="092E974B">
      <w:pPr>
        <w:numPr>
          <w:ilvl w:val="0"/>
          <w:numId w:val="0"/>
        </w:numPr>
        <w:jc w:val="both"/>
        <w:rPr>
          <w:rFonts w:hint="eastAsia" w:asciiTheme="minorHAnsi" w:eastAsiaTheme="minorEastAsia"/>
          <w:lang w:val="en-US" w:eastAsia="zh-CN"/>
        </w:rPr>
      </w:pPr>
    </w:p>
    <w:p w14:paraId="2FCE6E9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5E78">
      <w:pPr>
        <w:numPr>
          <w:ilvl w:val="0"/>
          <w:numId w:val="0"/>
        </w:numPr>
        <w:jc w:val="both"/>
        <w:rPr>
          <w:sz w:val="21"/>
          <w:szCs w:val="21"/>
        </w:rPr>
      </w:pPr>
    </w:p>
    <w:p w14:paraId="06BE4AAE">
      <w:pPr>
        <w:numPr>
          <w:ilvl w:val="0"/>
          <w:numId w:val="0"/>
        </w:numPr>
        <w:jc w:val="both"/>
      </w:pPr>
      <w:r>
        <w:rPr>
          <w:rFonts w:hint="eastAsia" w:asciiTheme="minorHAnsi" w:eastAsiaTheme="minorEastAsia"/>
          <w:sz w:val="22"/>
          <w:szCs w:val="22"/>
          <w:lang w:val="en-US" w:eastAsia="zh-CN"/>
        </w:rPr>
        <w:t>点击“</w:t>
      </w:r>
      <w:r>
        <w:rPr>
          <w:rFonts w:hint="eastAsia"/>
          <w:sz w:val="22"/>
          <w:szCs w:val="22"/>
          <w:lang w:val="en-US" w:eastAsia="zh-CN"/>
        </w:rPr>
        <w:t>明细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”列的放大镜进行查询</w:t>
      </w:r>
      <w:r>
        <w:rPr>
          <w:rFonts w:hint="eastAsia" w:asciiTheme="minorHAnsi" w:eastAsiaTheme="minorEastAsia"/>
          <w:lang w:val="en-US" w:eastAsia="zh-CN"/>
        </w:rPr>
        <w:br w:type="textWrapping"/>
      </w:r>
      <w:r>
        <w:drawing>
          <wp:inline distT="0" distB="0" distL="114300" distR="114300">
            <wp:extent cx="5266690" cy="2523490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BCCD">
      <w:pPr>
        <w:numPr>
          <w:ilvl w:val="0"/>
          <w:numId w:val="0"/>
        </w:numPr>
        <w:jc w:val="both"/>
        <w:rPr>
          <w:rFonts w:hint="eastAsia" w:asciiTheme="minorHAnsi" w:eastAsiaTheme="minorEastAsia"/>
          <w:sz w:val="22"/>
          <w:szCs w:val="22"/>
          <w:lang w:val="en-US" w:eastAsia="zh-CN"/>
        </w:rPr>
      </w:pPr>
    </w:p>
    <w:p w14:paraId="325F99BE">
      <w:pPr>
        <w:numPr>
          <w:ilvl w:val="0"/>
          <w:numId w:val="0"/>
        </w:numPr>
        <w:jc w:val="both"/>
        <w:rPr>
          <w:rFonts w:hint="default" w:asciiTheme="minorHAnsi" w:eastAsiaTheme="minorEastAsia"/>
          <w:sz w:val="22"/>
          <w:szCs w:val="22"/>
          <w:lang w:val="en-US" w:eastAsia="zh-CN"/>
        </w:rPr>
      </w:pPr>
      <w:r>
        <w:rPr>
          <w:rFonts w:hint="eastAsia" w:asciiTheme="minorHAnsi" w:eastAsiaTheme="minorEastAsia"/>
          <w:sz w:val="22"/>
          <w:szCs w:val="22"/>
          <w:lang w:val="en-US" w:eastAsia="zh-CN"/>
        </w:rPr>
        <w:t>明细中，若投标供应商使用的为电子保函缴纳保证金的模式，在【投标信息】栏目的“保证金缴纳方式”中会显示“电子保函缴纳”，如果为线上保证金子账户转账缴纳，则会显示“子账号缴纳”。具体的保函申请信息，详见下面的【保函申请信息】栏目，其中有哪个供应商申请的担保金额为多少的保函详情信息，包括出函机构、出函时间以及保函生效和失效时间，点击最后的“下载”按钮，可以查看供应商申请的保函：</w:t>
      </w:r>
    </w:p>
    <w:p w14:paraId="05D38CC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520315"/>
            <wp:effectExtent l="0" t="0" r="1143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AF06">
      <w:pPr>
        <w:numPr>
          <w:ilvl w:val="0"/>
          <w:numId w:val="0"/>
        </w:numPr>
        <w:jc w:val="both"/>
        <w:rPr>
          <w:rFonts w:hint="eastAsia" w:ascii="Times New Roman" w:eastAsia="宋体"/>
          <w:lang w:val="en-US" w:eastAsia="zh-CN"/>
        </w:rPr>
      </w:pPr>
      <w:r>
        <w:rPr>
          <w:rFonts w:hint="eastAsia"/>
          <w:lang w:val="en-US" w:eastAsia="zh-CN"/>
        </w:rPr>
        <w:t>下载供应商的保函，可以查看保函的“</w:t>
      </w:r>
      <w:r>
        <w:rPr>
          <w:rFonts w:hint="eastAsia" w:ascii="Times New Roman" w:eastAsia="宋体"/>
          <w:lang w:val="en-US" w:eastAsia="zh-CN"/>
        </w:rPr>
        <w:t>密文</w:t>
      </w:r>
      <w:r>
        <w:rPr>
          <w:rFonts w:hint="eastAsia"/>
          <w:lang w:val="en-US" w:eastAsia="zh-CN"/>
        </w:rPr>
        <w:t>”与“</w:t>
      </w:r>
      <w:r>
        <w:rPr>
          <w:rFonts w:hint="eastAsia" w:ascii="Times New Roman" w:eastAsia="宋体"/>
          <w:lang w:val="en-US" w:eastAsia="zh-CN"/>
        </w:rPr>
        <w:t>明文</w:t>
      </w:r>
      <w:r>
        <w:rPr>
          <w:rFonts w:hint="eastAsia"/>
          <w:lang w:val="en-US" w:eastAsia="zh-CN"/>
        </w:rPr>
        <w:t>”信息，如果供应商投标时在标书“保证金缴纳凭证”章节，截图上传了“密文”</w:t>
      </w:r>
      <w:r>
        <w:rPr>
          <w:rFonts w:hint="eastAsia" w:ascii="Times New Roman" w:eastAsia="宋体"/>
          <w:lang w:val="en-US" w:eastAsia="zh-CN"/>
        </w:rPr>
        <w:t>版的保函（因为开标前供应商只能拿到密文版的保函文件，可以此作为缴纳凭证），此时可以对照此处下载的保函的“”号，以及相关密文是否与供应商投标文件中的一致即可：</w:t>
      </w:r>
    </w:p>
    <w:p w14:paraId="3C18624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617720" cy="4894580"/>
            <wp:effectExtent l="9525" t="9525" r="1143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489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br w:type="textWrapping"/>
      </w:r>
    </w:p>
    <w:p w14:paraId="52600704">
      <w:pPr>
        <w:pStyle w:val="3"/>
        <w:bidi w:val="0"/>
        <w:rPr>
          <w:rFonts w:hint="default" w:ascii="Times New Roman" w:hAnsi="Times New Roman" w:eastAsia="思源宋体 CN Light"/>
          <w:lang w:val="en-US" w:eastAsia="zh-CN"/>
        </w:rPr>
      </w:pPr>
      <w:bookmarkStart w:id="3" w:name="_Toc335"/>
      <w:r>
        <w:rPr>
          <w:rFonts w:hint="eastAsia" w:ascii="Times New Roman" w:hAnsi="Times New Roman" w:eastAsia="思源宋体 CN Light"/>
          <w:lang w:val="en-US" w:eastAsia="zh-CN"/>
        </w:rPr>
        <w:t>采购人发起保函理赔</w:t>
      </w:r>
      <w:bookmarkEnd w:id="3"/>
    </w:p>
    <w:p w14:paraId="5B7A3621">
      <w:pPr>
        <w:jc w:val="both"/>
        <w:rPr>
          <w:rFonts w:hint="eastAsia"/>
          <w:sz w:val="22"/>
          <w:szCs w:val="28"/>
          <w:highlight w:val="none"/>
          <w:lang w:val="en-US" w:eastAsia="zh-CN"/>
        </w:rPr>
      </w:pPr>
    </w:p>
    <w:p w14:paraId="0BC8F82D">
      <w:pPr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sz w:val="22"/>
          <w:szCs w:val="22"/>
          <w:highlight w:val="none"/>
          <w:lang w:val="en-US" w:eastAsia="zh-CN"/>
        </w:rPr>
        <w:t>如果需要发起理赔，采购人在“财务管理-保函理赔”页面进行相关操作</w:t>
      </w:r>
      <w:bookmarkStart w:id="4" w:name="_GoBack"/>
      <w:bookmarkEnd w:id="4"/>
      <w:r>
        <w:rPr>
          <w:rFonts w:hint="eastAsia"/>
          <w:sz w:val="22"/>
          <w:szCs w:val="22"/>
          <w:highlight w:val="none"/>
          <w:lang w:val="en-US" w:eastAsia="zh-CN"/>
        </w:rPr>
        <w:t>。</w:t>
      </w:r>
    </w:p>
    <w:p w14:paraId="560363CE">
      <w:p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ECF9">
      <w:pPr>
        <w:jc w:val="both"/>
      </w:pPr>
    </w:p>
    <w:p w14:paraId="58F9CAB9">
      <w:pPr>
        <w:jc w:val="both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 xml:space="preserve">点击“新增保函理赔” </w:t>
      </w:r>
    </w:p>
    <w:p w14:paraId="374A347D">
      <w:pPr>
        <w:jc w:val="both"/>
        <w:rPr>
          <w:rFonts w:hint="eastAsia"/>
          <w:lang w:val="en-US" w:eastAsia="zh-CN"/>
        </w:rPr>
      </w:pPr>
    </w:p>
    <w:p w14:paraId="39979161">
      <w:pPr>
        <w:jc w:val="both"/>
      </w:pPr>
      <w:r>
        <w:drawing>
          <wp:inline distT="0" distB="0" distL="114300" distR="114300">
            <wp:extent cx="5266690" cy="252349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8B07">
      <w:pPr>
        <w:jc w:val="both"/>
      </w:pPr>
    </w:p>
    <w:p w14:paraId="4A3BE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按照标段名称和单位名称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在单位列表中找到</w:t>
      </w:r>
      <w:r>
        <w:rPr>
          <w:rFonts w:hint="eastAsia"/>
          <w:sz w:val="22"/>
          <w:szCs w:val="22"/>
          <w:lang w:val="en-US" w:eastAsia="zh-CN"/>
        </w:rPr>
        <w:t>对应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需要理赔的记录（一个项目有多少个</w:t>
      </w:r>
      <w:r>
        <w:rPr>
          <w:rFonts w:hint="eastAsia"/>
          <w:sz w:val="22"/>
          <w:szCs w:val="22"/>
          <w:lang w:val="en-US" w:eastAsia="zh-CN"/>
        </w:rPr>
        <w:t>保函成功出函</w:t>
      </w:r>
      <w:r>
        <w:rPr>
          <w:rFonts w:hint="eastAsia" w:asciiTheme="minorHAnsi" w:eastAsiaTheme="minorEastAsia"/>
          <w:sz w:val="22"/>
          <w:szCs w:val="22"/>
          <w:lang w:val="en-US" w:eastAsia="zh-CN"/>
        </w:rPr>
        <w:t>，就会有多少条记录）</w:t>
      </w:r>
      <w:r>
        <w:rPr>
          <w:rFonts w:hint="eastAsia"/>
          <w:sz w:val="22"/>
          <w:szCs w:val="22"/>
          <w:lang w:val="en-US" w:eastAsia="zh-CN"/>
        </w:rPr>
        <w:t>，点击后方“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⊕</w:t>
      </w:r>
      <w:r>
        <w:rPr>
          <w:rFonts w:hint="eastAsia"/>
          <w:sz w:val="22"/>
          <w:szCs w:val="22"/>
          <w:lang w:val="en-US" w:eastAsia="zh-CN"/>
        </w:rPr>
        <w:t>”或是下方“确定选择”进行新增</w:t>
      </w:r>
    </w:p>
    <w:p w14:paraId="15C6E54C">
      <w:pPr>
        <w:jc w:val="both"/>
      </w:pPr>
      <w:r>
        <w:drawing>
          <wp:inline distT="0" distB="0" distL="114300" distR="114300">
            <wp:extent cx="4868545" cy="2332990"/>
            <wp:effectExtent l="0" t="0" r="825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D7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/>
          <w:lang w:val="en-US" w:eastAsia="zh-CN"/>
        </w:rPr>
      </w:pPr>
    </w:p>
    <w:p w14:paraId="3DAF9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填写理赔申请信息（必填）和附件信息（</w:t>
      </w:r>
      <w:r>
        <w:rPr>
          <w:rFonts w:hint="eastAsia"/>
          <w:color w:val="FF0000"/>
          <w:sz w:val="22"/>
          <w:szCs w:val="28"/>
          <w:lang w:val="en-US" w:eastAsia="zh-CN"/>
        </w:rPr>
        <w:t>理赔佐证文件最多上传10个文件</w:t>
      </w:r>
      <w:r>
        <w:rPr>
          <w:rFonts w:hint="eastAsia"/>
          <w:sz w:val="22"/>
          <w:szCs w:val="28"/>
          <w:lang w:val="en-US" w:eastAsia="zh-CN"/>
        </w:rPr>
        <w:t>）后，点击右上角结束或送下一步等待本单位相关人员进行审核。</w:t>
      </w:r>
    </w:p>
    <w:p w14:paraId="2595A5EA">
      <w:pPr>
        <w:jc w:val="both"/>
      </w:pPr>
    </w:p>
    <w:p w14:paraId="0048D5AC">
      <w:pPr>
        <w:jc w:val="both"/>
      </w:pPr>
      <w:r>
        <w:drawing>
          <wp:inline distT="0" distB="0" distL="114300" distR="114300">
            <wp:extent cx="5050155" cy="2393950"/>
            <wp:effectExtent l="0" t="0" r="1714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70EF">
      <w:pPr>
        <w:jc w:val="both"/>
        <w:rPr>
          <w:sz w:val="22"/>
          <w:szCs w:val="28"/>
        </w:rPr>
      </w:pPr>
    </w:p>
    <w:p w14:paraId="246CA75E">
      <w:pPr>
        <w:jc w:val="both"/>
        <w:rPr>
          <w:rFonts w:hint="default"/>
          <w:sz w:val="22"/>
          <w:szCs w:val="28"/>
          <w:lang w:val="en-US"/>
        </w:rPr>
      </w:pPr>
      <w:r>
        <w:rPr>
          <w:rFonts w:hint="eastAsia" w:ascii="Times New Roman" w:eastAsia="宋体"/>
          <w:sz w:val="22"/>
          <w:szCs w:val="28"/>
          <w:lang w:val="en-US" w:eastAsia="zh-CN"/>
        </w:rPr>
        <w:t>点击送下一步，选择审批人，签署意见后提交</w:t>
      </w:r>
    </w:p>
    <w:p w14:paraId="44E198E9">
      <w:pPr>
        <w:jc w:val="both"/>
      </w:pPr>
      <w:r>
        <w:drawing>
          <wp:inline distT="0" distB="0" distL="114300" distR="114300">
            <wp:extent cx="4960620" cy="2364740"/>
            <wp:effectExtent l="0" t="0" r="11430" b="165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F0AE">
      <w:pPr>
        <w:jc w:val="both"/>
      </w:pPr>
    </w:p>
    <w:p w14:paraId="7AAEC3EA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166360" cy="2475865"/>
            <wp:effectExtent l="0" t="0" r="15240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798E">
      <w:pPr>
        <w:jc w:val="both"/>
        <w:rPr>
          <w:rFonts w:hint="eastAsia"/>
          <w:lang w:val="en-US" w:eastAsia="zh-CN"/>
        </w:rPr>
      </w:pPr>
    </w:p>
    <w:p w14:paraId="0EE49EBB">
      <w:pPr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提交申请后，本单位相关工作人员在“待审核”里审核，点击页面右侧齿轮进行审核</w:t>
      </w:r>
    </w:p>
    <w:p w14:paraId="1C8ED75E">
      <w:pPr>
        <w:jc w:val="both"/>
        <w:rPr>
          <w:rFonts w:hint="eastAsia"/>
          <w:lang w:val="en-US" w:eastAsia="zh-CN"/>
        </w:rPr>
      </w:pPr>
    </w:p>
    <w:p w14:paraId="0EBDAA6E">
      <w:pPr>
        <w:jc w:val="both"/>
      </w:pPr>
      <w:r>
        <w:drawing>
          <wp:inline distT="0" distB="0" distL="114300" distR="114300">
            <wp:extent cx="5226050" cy="1404620"/>
            <wp:effectExtent l="0" t="0" r="12700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527C">
      <w:pPr>
        <w:jc w:val="both"/>
      </w:pPr>
    </w:p>
    <w:p w14:paraId="40BC3326">
      <w:pPr>
        <w:jc w:val="both"/>
      </w:pPr>
      <w:r>
        <w:drawing>
          <wp:inline distT="0" distB="0" distL="114300" distR="114300">
            <wp:extent cx="4768850" cy="2277745"/>
            <wp:effectExtent l="0" t="0" r="12700" b="825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BA75">
      <w:pPr>
        <w:jc w:val="both"/>
        <w:rPr>
          <w:rFonts w:hint="eastAsia" w:asciiTheme="minorHAnsi" w:eastAsiaTheme="minorEastAsia"/>
          <w:lang w:val="en-US" w:eastAsia="zh-CN"/>
        </w:rPr>
      </w:pPr>
    </w:p>
    <w:p w14:paraId="0A87291C">
      <w:pPr>
        <w:jc w:val="both"/>
        <w:rPr>
          <w:rFonts w:hint="eastAsia" w:asciiTheme="minorHAnsi" w:eastAsiaTheme="minorEastAsia"/>
          <w:lang w:val="en-US" w:eastAsia="zh-CN"/>
        </w:rPr>
      </w:pPr>
    </w:p>
    <w:p w14:paraId="5DE7F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Theme="minorHAnsi" w:eastAsiaTheme="minorEastAsia"/>
          <w:sz w:val="22"/>
          <w:szCs w:val="28"/>
          <w:lang w:val="en-US" w:eastAsia="zh-CN"/>
        </w:rPr>
      </w:pPr>
      <w:r>
        <w:rPr>
          <w:rFonts w:hint="eastAsia" w:asciiTheme="minorHAnsi" w:eastAsiaTheme="minorEastAsia"/>
          <w:sz w:val="22"/>
          <w:szCs w:val="28"/>
          <w:lang w:val="en-US" w:eastAsia="zh-CN"/>
        </w:rPr>
        <w:t>同意后，签署意见提交，提示处理成功</w:t>
      </w:r>
      <w:r>
        <w:rPr>
          <w:rFonts w:hint="eastAsia"/>
          <w:sz w:val="22"/>
          <w:szCs w:val="28"/>
          <w:lang w:val="en-US" w:eastAsia="zh-CN"/>
        </w:rPr>
        <w:t>后，本条记录将会传送到金融机构，等待机构审核即可。</w:t>
      </w:r>
    </w:p>
    <w:p w14:paraId="0CE3F7C7">
      <w:pPr>
        <w:jc w:val="both"/>
        <w:rPr>
          <w:rFonts w:hint="eastAsia" w:asciiTheme="minorHAnsi" w:eastAsiaTheme="minorEastAsia"/>
          <w:lang w:val="en-US" w:eastAsia="zh-CN"/>
        </w:rPr>
      </w:pPr>
    </w:p>
    <w:p w14:paraId="7DA64B26">
      <w:pPr>
        <w:jc w:val="both"/>
        <w:rPr>
          <w:rFonts w:hint="eastAsia" w:asciiTheme="minorHAnsi" w:eastAsiaTheme="minorEastAsia"/>
          <w:lang w:val="en-US" w:eastAsia="zh-CN"/>
        </w:rPr>
      </w:pPr>
    </w:p>
    <w:p w14:paraId="039ADF92">
      <w:pPr>
        <w:jc w:val="both"/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4887595" cy="2330450"/>
            <wp:effectExtent l="0" t="0" r="8255" b="1270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6765">
      <w:pPr>
        <w:jc w:val="both"/>
        <w:rPr>
          <w:rFonts w:hint="eastAsia" w:asciiTheme="minorHAnsi" w:eastAsiaTheme="minorEastAsia"/>
          <w:lang w:val="en-US" w:eastAsia="zh-CN"/>
        </w:rPr>
      </w:pPr>
    </w:p>
    <w:p w14:paraId="2BA12F69">
      <w:pPr>
        <w:jc w:val="both"/>
        <w:rPr>
          <w:rFonts w:hint="eastAsia" w:asciiTheme="minorHAnsi" w:eastAsiaTheme="minorEastAsia"/>
          <w:lang w:val="en-US" w:eastAsia="zh-CN"/>
        </w:rPr>
      </w:pPr>
    </w:p>
    <w:p w14:paraId="659A5A36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01565" cy="2336165"/>
            <wp:effectExtent l="0" t="0" r="3810" b="6985"/>
            <wp:docPr id="23" name="图片 23" descr="dbcff1919c2cad71646030b4ec387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cff1919c2cad71646030b4ec387c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DC58">
      <w:pPr>
        <w:jc w:val="both"/>
        <w:rPr>
          <w:rFonts w:hint="default"/>
          <w:lang w:val="en-US" w:eastAsia="zh-CN"/>
        </w:rPr>
      </w:pPr>
    </w:p>
    <w:p w14:paraId="76D936E6">
      <w:pPr>
        <w:jc w:val="both"/>
        <w:rPr>
          <w:rFonts w:hint="default"/>
          <w:lang w:val="en-US" w:eastAsia="zh-CN"/>
        </w:rPr>
      </w:pPr>
      <w:r>
        <w:rPr>
          <w:rFonts w:hint="eastAsia" w:ascii="Times New Roman" w:eastAsia="宋体"/>
          <w:sz w:val="22"/>
          <w:szCs w:val="28"/>
          <w:lang w:val="en-US" w:eastAsia="zh-CN"/>
        </w:rPr>
        <w:t>在</w:t>
      </w:r>
      <w:r>
        <w:rPr>
          <w:rFonts w:hint="eastAsia" w:asciiTheme="minorHAnsi" w:eastAsiaTheme="minorEastAsia"/>
          <w:sz w:val="22"/>
          <w:szCs w:val="28"/>
          <w:lang w:val="en-US" w:eastAsia="zh-CN"/>
        </w:rPr>
        <w:t>理赔列表中即可看到理赔处理结果</w:t>
      </w:r>
    </w:p>
    <w:p w14:paraId="50A5E380">
      <w:pPr>
        <w:jc w:val="both"/>
      </w:pPr>
      <w:r>
        <w:rPr>
          <w:rFonts w:hint="eastAsia" w:asciiTheme="minorHAnsi" w:eastAsiaTheme="minorEastAsia"/>
          <w:sz w:val="22"/>
          <w:szCs w:val="28"/>
          <w:lang w:val="en-US" w:eastAsia="zh-CN"/>
        </w:rPr>
        <w:t xml:space="preserve">理赔处理状态为 </w:t>
      </w:r>
      <w:r>
        <w:rPr>
          <w:rFonts w:hint="eastAsia" w:ascii="Times New Roman" w:eastAsia="宋体"/>
          <w:sz w:val="22"/>
          <w:szCs w:val="28"/>
          <w:lang w:val="en-US" w:eastAsia="zh-CN"/>
        </w:rPr>
        <w:t>：</w:t>
      </w:r>
      <w:r>
        <w:rPr>
          <w:rFonts w:hint="eastAsia" w:asciiTheme="minorHAnsi" w:eastAsiaTheme="minorEastAsia"/>
          <w:sz w:val="22"/>
          <w:szCs w:val="28"/>
          <w:lang w:val="en-US" w:eastAsia="zh-CN"/>
        </w:rPr>
        <w:t>处理中/已处理</w:t>
      </w:r>
      <w:r>
        <w:rPr>
          <w:rFonts w:hint="eastAsia" w:ascii="Times New Roman" w:eastAsia="宋体"/>
          <w:sz w:val="22"/>
          <w:szCs w:val="28"/>
          <w:lang w:val="en-US" w:eastAsia="zh-CN"/>
        </w:rPr>
        <w:t>；</w:t>
      </w:r>
      <w:r>
        <w:rPr>
          <w:rFonts w:hint="eastAsia" w:asciiTheme="minorHAnsi" w:eastAsiaTheme="minorEastAsia"/>
          <w:sz w:val="22"/>
          <w:szCs w:val="28"/>
          <w:lang w:val="en-US" w:eastAsia="zh-CN"/>
        </w:rPr>
        <w:t xml:space="preserve">理赔处理结果为 </w:t>
      </w:r>
      <w:r>
        <w:rPr>
          <w:rFonts w:hint="eastAsia" w:ascii="Times New Roman" w:eastAsia="宋体"/>
          <w:sz w:val="22"/>
          <w:szCs w:val="28"/>
          <w:lang w:val="en-US" w:eastAsia="zh-CN"/>
        </w:rPr>
        <w:t>：</w:t>
      </w:r>
      <w:r>
        <w:rPr>
          <w:rFonts w:hint="eastAsia" w:asciiTheme="minorHAnsi" w:eastAsiaTheme="minorEastAsia"/>
          <w:sz w:val="22"/>
          <w:szCs w:val="28"/>
          <w:lang w:val="en-US" w:eastAsia="zh-CN"/>
        </w:rPr>
        <w:t>待赔付/已赔付/不予赔付</w:t>
      </w:r>
      <w:r>
        <w:rPr>
          <w:rFonts w:hint="eastAsia" w:ascii="Times New Roman" w:eastAsia="宋体"/>
          <w:sz w:val="22"/>
          <w:szCs w:val="28"/>
          <w:lang w:val="en-US" w:eastAsia="zh-CN"/>
        </w:rPr>
        <w:t>。</w:t>
      </w:r>
    </w:p>
    <w:p w14:paraId="053A7AF3">
      <w:pPr>
        <w:jc w:val="both"/>
      </w:pPr>
      <w:r>
        <w:drawing>
          <wp:inline distT="0" distB="0" distL="114300" distR="114300">
            <wp:extent cx="5273675" cy="1326515"/>
            <wp:effectExtent l="0" t="0" r="3175" b="698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6D34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F82E8">
    <w:pPr>
      <w:widowControl w:val="0"/>
      <w:pBdr>
        <w:top w:val="single" w:color="9BBB59" w:sz="24" w:space="5"/>
      </w:pBdr>
      <w:tabs>
        <w:tab w:val="center" w:pos="4153"/>
        <w:tab w:val="right" w:pos="8306"/>
      </w:tabs>
      <w:wordWrap/>
      <w:snapToGrid w:val="0"/>
      <w:spacing w:line="240" w:lineRule="auto"/>
      <w:ind w:firstLine="0" w:firstLineChars="0"/>
      <w:jc w:val="center"/>
      <w:rPr>
        <w:rFonts w:hint="default" w:ascii="Times New Roman" w:hAnsi="Times New Roman" w:eastAsia="思源宋体 CN Light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328C1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328C1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0F34F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hint="eastAsia" w:ascii="Times New Roman" w:hAnsi="Times New Roman" w:eastAsia="思源宋体 CN Light" w:cs="Times New Roman"/>
        <w:kern w:val="2"/>
        <w:sz w:val="18"/>
        <w:szCs w:val="18"/>
        <w:lang w:val="en-US" w:eastAsia="zh-CN" w:bidi="ar-SA"/>
      </w:rPr>
    </w:pPr>
    <w:r>
      <w:rPr>
        <w:rFonts w:hint="eastAsia" w:ascii="Times New Roman" w:hAnsi="Times New Roman" w:eastAsia="思源宋体 CN Light" w:cs="Times New Roman"/>
        <w:kern w:val="2"/>
        <w:sz w:val="18"/>
        <w:szCs w:val="18"/>
        <w:lang w:val="en-US" w:eastAsia="zh-CN" w:bidi="ar-SA"/>
      </w:rPr>
      <w:t>中原云商（招投标）金融服务平台操作手册</w:t>
    </w:r>
  </w:p>
  <w:p w14:paraId="3385B392">
    <w:pPr>
      <w:widowControl w:val="0"/>
      <w:pBdr>
        <w:bottom w:val="none" w:color="auto" w:sz="0" w:space="1"/>
      </w:pBdr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Times New Roman" w:hAnsi="Times New Roman" w:eastAsia="思源宋体 CN Light" w:cs="Times New Roman"/>
        <w:kern w:val="2"/>
        <w:sz w:val="18"/>
        <w:szCs w:val="18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F65411"/>
    <w:multiLevelType w:val="multilevel"/>
    <w:tmpl w:val="91F65411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ahoma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ahoma"/>
        <w:b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ahoma"/>
        <w:b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微软雅黑 Light" w:cs="Tahoma"/>
        <w:b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思源宋体 CN Light" w:cs="Tahoma"/>
        <w:b/>
        <w:sz w:val="21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1NjQ5YzkzZTdhMmIzMDEwNWRmNzVjM2E1NzkzYWIifQ=="/>
  </w:docVars>
  <w:rsids>
    <w:rsidRoot w:val="00000000"/>
    <w:rsid w:val="03FB6AF8"/>
    <w:rsid w:val="078F0864"/>
    <w:rsid w:val="0A8E1F88"/>
    <w:rsid w:val="0E6E115D"/>
    <w:rsid w:val="0EB67D00"/>
    <w:rsid w:val="166A6A91"/>
    <w:rsid w:val="177E3F74"/>
    <w:rsid w:val="1AA66478"/>
    <w:rsid w:val="1B650AE3"/>
    <w:rsid w:val="20D90965"/>
    <w:rsid w:val="29EC23D0"/>
    <w:rsid w:val="2CDC497D"/>
    <w:rsid w:val="2D9B46EA"/>
    <w:rsid w:val="35CA7338"/>
    <w:rsid w:val="380F3E59"/>
    <w:rsid w:val="38577C12"/>
    <w:rsid w:val="39DA0164"/>
    <w:rsid w:val="39E35A89"/>
    <w:rsid w:val="3EE536EA"/>
    <w:rsid w:val="3FA56459"/>
    <w:rsid w:val="414A7FBB"/>
    <w:rsid w:val="41706763"/>
    <w:rsid w:val="41F83BB0"/>
    <w:rsid w:val="4DF55447"/>
    <w:rsid w:val="4E6F48CD"/>
    <w:rsid w:val="59535C01"/>
    <w:rsid w:val="618F68F6"/>
    <w:rsid w:val="61F63EA4"/>
    <w:rsid w:val="66F25045"/>
    <w:rsid w:val="69ED3DE4"/>
    <w:rsid w:val="6C6C4E7D"/>
    <w:rsid w:val="6DDB1188"/>
    <w:rsid w:val="77A242B9"/>
    <w:rsid w:val="78D92664"/>
    <w:rsid w:val="7B88554B"/>
    <w:rsid w:val="7D6E1C5A"/>
    <w:rsid w:val="7DFD701A"/>
    <w:rsid w:val="7FA6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firstLine="0" w:firstLineChars="0"/>
      <w:jc w:val="both"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qFormat/>
    <w:uiPriority w:val="0"/>
    <w:pPr>
      <w:keepNext w:val="0"/>
      <w:keepLines w:val="0"/>
      <w:numPr>
        <w:ilvl w:val="1"/>
        <w:numId w:val="1"/>
      </w:numPr>
      <w:spacing w:before="120" w:after="120"/>
      <w:ind w:left="0" w:firstLine="0" w:firstLineChars="0"/>
      <w:jc w:val="both"/>
      <w:outlineLvl w:val="1"/>
    </w:pPr>
    <w:rPr>
      <w:b/>
      <w:bCs/>
      <w:sz w:val="30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1002</Words>
  <Characters>1007</Characters>
  <Lines>0</Lines>
  <Paragraphs>0</Paragraphs>
  <TotalTime>2</TotalTime>
  <ScaleCrop>false</ScaleCrop>
  <LinksUpToDate>false</LinksUpToDate>
  <CharactersWithSpaces>1018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2026-01-20T07:56:00Z</dcterms:created>
  <dc:creator>hnec_jack</dc:creator>
  <cp:lastModifiedBy>glx</cp:lastModifiedBy>
  <dcterms:modified xsi:type="dcterms:W3CDTF">2026-05-09T00:18:37Z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eyJoZGlkIjoiNWU1NDkyNzAwOTc2ZDk3ZDZiNThhZTdkOTNjYTNjYmUiLCJ1c2VySWQiOiI2OTY3MTkxOTEifQ==</vt:lpwstr>
  </property>
  <property fmtid="{D5CDD505-2E9C-101B-9397-08002B2CF9AE}" pid="4" name="ICV">
    <vt:lpwstr>A74C7641B27F428EB8AB3788BC0CA461_13</vt:lpwstr>
  </property>
</Properties>
</file>