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0F1F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/>
        </w:rPr>
      </w:pPr>
      <w:bookmarkStart w:id="0" w:name="_Toc24628"/>
    </w:p>
    <w:p w14:paraId="3122091B">
      <w:pPr>
        <w:bidi w:val="0"/>
        <w:rPr>
          <w:rFonts w:hint="eastAsia"/>
          <w:lang w:val="en-US" w:eastAsia="zh-CN"/>
        </w:rPr>
      </w:pPr>
    </w:p>
    <w:p w14:paraId="0792B59E">
      <w:pPr>
        <w:pStyle w:val="32"/>
        <w:rPr>
          <w:rFonts w:hint="eastAsia"/>
          <w:lang w:val="en-US" w:eastAsia="zh-CN"/>
        </w:rPr>
      </w:pPr>
    </w:p>
    <w:p w14:paraId="21B2A673">
      <w:pPr>
        <w:bidi w:val="0"/>
        <w:rPr>
          <w:rFonts w:hint="eastAsia"/>
          <w:lang w:val="en-US" w:eastAsia="zh-CN"/>
        </w:rPr>
      </w:pPr>
    </w:p>
    <w:p w14:paraId="1505586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auto"/>
        <w:ind w:firstLine="0" w:firstLineChars="0"/>
        <w:jc w:val="center"/>
        <w:textAlignment w:val="auto"/>
        <w:rPr>
          <w:rFonts w:hint="eastAsia" w:eastAsia="思源黑体 CN Regular"/>
          <w:b/>
          <w:sz w:val="52"/>
          <w:lang w:val="en-US" w:eastAsia="zh-CN"/>
        </w:rPr>
      </w:pPr>
      <w:r>
        <w:rPr>
          <w:rFonts w:hint="eastAsia" w:eastAsia="思源黑体 CN Regular"/>
          <w:b/>
          <w:sz w:val="52"/>
          <w:lang w:val="en-US" w:eastAsia="zh-CN"/>
        </w:rPr>
        <w:t>中原云商（招投标）金融服务平台</w:t>
      </w:r>
    </w:p>
    <w:p w14:paraId="7AB418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auto"/>
        <w:ind w:firstLine="0" w:firstLineChars="0"/>
        <w:jc w:val="center"/>
        <w:textAlignment w:val="auto"/>
        <w:rPr>
          <w:rFonts w:hint="eastAsia" w:eastAsia="思源黑体 CN Regular"/>
          <w:b/>
          <w:sz w:val="52"/>
          <w:lang w:val="en-US" w:eastAsia="zh-CN"/>
        </w:rPr>
      </w:pPr>
      <w:r>
        <w:rPr>
          <w:rFonts w:hint="eastAsia" w:eastAsia="思源黑体 CN Regular"/>
          <w:b/>
          <w:sz w:val="52"/>
          <w:lang w:val="en-US" w:eastAsia="zh-CN"/>
        </w:rPr>
        <w:t>【河南能源集团融资担保有限公司】电子保函操作手册</w:t>
      </w:r>
    </w:p>
    <w:p w14:paraId="267A86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auto"/>
        <w:ind w:firstLine="0" w:firstLineChars="0"/>
        <w:jc w:val="center"/>
        <w:textAlignment w:val="auto"/>
        <w:rPr>
          <w:rFonts w:hint="default" w:eastAsia="思源黑体 CN Regular"/>
          <w:b/>
          <w:sz w:val="52"/>
          <w:lang w:val="en-US" w:eastAsia="zh-CN"/>
        </w:rPr>
      </w:pPr>
      <w:r>
        <w:rPr>
          <w:rFonts w:hint="eastAsia" w:eastAsia="思源黑体 CN Regular"/>
          <w:b/>
          <w:sz w:val="52"/>
          <w:lang w:val="en-US" w:eastAsia="zh-CN"/>
        </w:rPr>
        <w:t>投标人端</w:t>
      </w:r>
    </w:p>
    <w:p w14:paraId="38CA4DCA">
      <w:pPr>
        <w:pStyle w:val="32"/>
        <w:rPr>
          <w:rFonts w:hint="eastAsia" w:eastAsia="思源黑体 CN Regular"/>
          <w:b/>
          <w:sz w:val="52"/>
          <w:lang w:val="en-US" w:eastAsia="zh-CN"/>
        </w:rPr>
      </w:pPr>
    </w:p>
    <w:p w14:paraId="2DA9815E">
      <w:pPr>
        <w:pStyle w:val="32"/>
        <w:rPr>
          <w:rFonts w:hint="eastAsia" w:eastAsia="思源黑体 CN Regular"/>
          <w:b/>
          <w:sz w:val="52"/>
          <w:lang w:val="zh-CN" w:eastAsia="zh-CN"/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797" w:bottom="1440" w:left="1797" w:header="850" w:footer="992" w:gutter="0"/>
          <w:cols w:space="0" w:num="1"/>
          <w:rtlGutter w:val="0"/>
          <w:docGrid w:type="lines" w:linePitch="312" w:charSpace="0"/>
        </w:sectPr>
      </w:pPr>
    </w:p>
    <w:p w14:paraId="4E2550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jc w:val="center"/>
        <w:textAlignment w:val="auto"/>
        <w:rPr>
          <w:rFonts w:ascii="Times New Roman" w:hAnsi="Times New Roman" w:eastAsia="思源宋体 CN Light"/>
          <w:b/>
          <w:spacing w:val="200"/>
          <w:kern w:val="20"/>
          <w:sz w:val="32"/>
        </w:rPr>
      </w:pPr>
      <w:r>
        <w:rPr>
          <w:rFonts w:ascii="Times New Roman" w:hAnsi="Times New Roman" w:eastAsia="思源宋体 CN Light"/>
          <w:b/>
          <w:spacing w:val="200"/>
          <w:kern w:val="20"/>
          <w:sz w:val="32"/>
        </w:rPr>
        <w:t>目录</w:t>
      </w:r>
    </w:p>
    <w:p w14:paraId="262F5A9E">
      <w:pPr>
        <w:pStyle w:val="15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TOC \o "1-3" \h \u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_Toc21947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lang w:val="en-US" w:eastAsia="zh-CN"/>
        </w:rPr>
        <w:t xml:space="preserve">一、 </w:t>
      </w:r>
      <w:r>
        <w:rPr>
          <w:rFonts w:hint="eastAsia"/>
          <w:lang w:val="en-US" w:eastAsia="zh-CN"/>
        </w:rPr>
        <w:t>河南能源集团融资担保操作流程</w:t>
      </w:r>
      <w:r>
        <w:tab/>
      </w:r>
      <w:r>
        <w:fldChar w:fldCharType="begin"/>
      </w:r>
      <w:r>
        <w:instrText xml:space="preserve"> PAGEREF _Toc21947 \h </w:instrText>
      </w:r>
      <w:r>
        <w:fldChar w:fldCharType="separate"/>
      </w:r>
      <w:r>
        <w:t>2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0297392F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_Toc17253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lang w:val="en-US" w:eastAsia="zh-CN"/>
        </w:rPr>
        <w:t xml:space="preserve">1.1、 </w:t>
      </w:r>
      <w:r>
        <w:rPr>
          <w:rFonts w:hint="eastAsia"/>
          <w:lang w:val="en-US" w:eastAsia="zh-CN"/>
        </w:rPr>
        <w:t>客户首次使用金融服务平台</w:t>
      </w:r>
      <w:r>
        <w:tab/>
      </w:r>
      <w:r>
        <w:fldChar w:fldCharType="begin"/>
      </w:r>
      <w:r>
        <w:instrText xml:space="preserve"> PAGEREF _Toc17253 \h </w:instrText>
      </w:r>
      <w:r>
        <w:fldChar w:fldCharType="separate"/>
      </w:r>
      <w:r>
        <w:t>2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24C60ED1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_Toc5552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bCs/>
          <w:kern w:val="2"/>
          <w:szCs w:val="32"/>
          <w:lang w:val="en-US" w:eastAsia="zh-CN" w:bidi="ar-SA"/>
        </w:rPr>
        <w:t xml:space="preserve">1.2、 </w:t>
      </w:r>
      <w:r>
        <w:rPr>
          <w:rFonts w:hint="eastAsia" w:cstheme="minorBidi"/>
          <w:bCs/>
          <w:kern w:val="2"/>
          <w:szCs w:val="32"/>
          <w:lang w:val="en-US" w:eastAsia="zh-CN" w:bidi="ar-SA"/>
        </w:rPr>
        <w:t>完善企业信息</w:t>
      </w:r>
      <w:r>
        <w:tab/>
      </w:r>
      <w:r>
        <w:fldChar w:fldCharType="begin"/>
      </w:r>
      <w:r>
        <w:instrText xml:space="preserve"> PAGEREF _Toc5552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55598738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_Toc31912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</w:rPr>
        <w:t xml:space="preserve">1.3、 </w:t>
      </w:r>
      <w:r>
        <w:rPr>
          <w:rFonts w:hint="eastAsia"/>
          <w:lang w:val="en-US" w:eastAsia="zh-CN"/>
        </w:rPr>
        <w:t>客户非首次使用金融服务平台</w:t>
      </w:r>
      <w:r>
        <w:tab/>
      </w:r>
      <w:r>
        <w:fldChar w:fldCharType="begin"/>
      </w:r>
      <w:r>
        <w:instrText xml:space="preserve"> PAGEREF _Toc31912 \h </w:instrText>
      </w:r>
      <w:r>
        <w:fldChar w:fldCharType="separate"/>
      </w:r>
      <w:r>
        <w:t>7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533057B4">
      <w:pPr>
        <w:pStyle w:val="12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_Toc24360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lang w:val="en-US" w:eastAsia="zh-CN"/>
        </w:rPr>
        <w:t xml:space="preserve">1.3.1、 </w:t>
      </w:r>
      <w:r>
        <w:rPr>
          <w:rFonts w:hint="eastAsia"/>
          <w:lang w:val="en-US" w:eastAsia="zh-CN"/>
        </w:rPr>
        <w:t>通过招投标平台跳转金融服务平台</w:t>
      </w:r>
      <w:r>
        <w:tab/>
      </w:r>
      <w:r>
        <w:fldChar w:fldCharType="begin"/>
      </w:r>
      <w:r>
        <w:instrText xml:space="preserve"> PAGEREF _Toc24360 \h </w:instrText>
      </w:r>
      <w:r>
        <w:fldChar w:fldCharType="separate"/>
      </w:r>
      <w:r>
        <w:t>7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167BB4BF">
      <w:pPr>
        <w:pStyle w:val="12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_Toc7838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lang w:val="en-US" w:eastAsia="zh-CN"/>
        </w:rPr>
        <w:t xml:space="preserve">1.3.2、 </w:t>
      </w:r>
      <w:r>
        <w:rPr>
          <w:rFonts w:hint="eastAsia"/>
          <w:lang w:val="en-US" w:eastAsia="zh-CN"/>
        </w:rPr>
        <w:t>直接登录金融服务平台</w:t>
      </w:r>
      <w:r>
        <w:tab/>
      </w:r>
      <w:r>
        <w:fldChar w:fldCharType="begin"/>
      </w:r>
      <w:r>
        <w:instrText xml:space="preserve"> PAGEREF _Toc7838 \h </w:instrText>
      </w:r>
      <w:r>
        <w:fldChar w:fldCharType="separate"/>
      </w:r>
      <w:r>
        <w:t>8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0B2C748B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_Toc25553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bCs/>
          <w:kern w:val="2"/>
          <w:szCs w:val="32"/>
          <w:lang w:val="en-US" w:eastAsia="zh-CN" w:bidi="ar-SA"/>
        </w:rPr>
        <w:t xml:space="preserve">1.4、 </w:t>
      </w:r>
      <w:r>
        <w:rPr>
          <w:rFonts w:hint="eastAsia" w:ascii="Times New Roman" w:hAnsi="Times New Roman" w:eastAsia="思源宋体 CN Light" w:cstheme="minorBidi"/>
          <w:bCs/>
          <w:kern w:val="2"/>
          <w:szCs w:val="32"/>
          <w:lang w:val="en-US" w:eastAsia="zh-CN" w:bidi="ar-SA"/>
        </w:rPr>
        <w:t>保函</w:t>
      </w:r>
      <w:r>
        <w:rPr>
          <w:rFonts w:hint="eastAsia" w:cstheme="minorBidi"/>
          <w:bCs/>
          <w:kern w:val="2"/>
          <w:szCs w:val="32"/>
          <w:lang w:val="en-US" w:eastAsia="zh-CN" w:bidi="ar-SA"/>
        </w:rPr>
        <w:t>申请材料</w:t>
      </w:r>
      <w:r>
        <w:rPr>
          <w:rFonts w:hint="eastAsia" w:ascii="Times New Roman" w:hAnsi="Times New Roman" w:eastAsia="思源宋体 CN Light" w:cstheme="minorBidi"/>
          <w:bCs/>
          <w:kern w:val="2"/>
          <w:szCs w:val="32"/>
          <w:lang w:val="en-US" w:eastAsia="zh-CN" w:bidi="ar-SA"/>
        </w:rPr>
        <w:t>签章</w:t>
      </w:r>
      <w:r>
        <w:tab/>
      </w:r>
      <w:r>
        <w:fldChar w:fldCharType="begin"/>
      </w:r>
      <w:r>
        <w:instrText xml:space="preserve"> PAGEREF _Toc25553 \h </w:instrText>
      </w:r>
      <w:r>
        <w:fldChar w:fldCharType="separate"/>
      </w:r>
      <w:r>
        <w:t>11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54CAFB68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_Toc8229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bCs/>
          <w:kern w:val="2"/>
          <w:szCs w:val="32"/>
          <w:lang w:val="en-US" w:eastAsia="zh-CN" w:bidi="ar-SA"/>
        </w:rPr>
        <w:t xml:space="preserve">1.5、 </w:t>
      </w:r>
      <w:r>
        <w:rPr>
          <w:rFonts w:hint="eastAsia" w:ascii="Times New Roman" w:hAnsi="Times New Roman" w:eastAsia="思源宋体 CN Light" w:cstheme="minorBidi"/>
          <w:bCs/>
          <w:kern w:val="2"/>
          <w:szCs w:val="32"/>
          <w:lang w:val="en-US" w:eastAsia="zh-CN" w:bidi="ar-SA"/>
        </w:rPr>
        <w:t>经办人信息填写</w:t>
      </w:r>
      <w:r>
        <w:tab/>
      </w:r>
      <w:r>
        <w:fldChar w:fldCharType="begin"/>
      </w:r>
      <w:r>
        <w:instrText xml:space="preserve"> PAGEREF _Toc8229 \h </w:instrText>
      </w:r>
      <w:r>
        <w:fldChar w:fldCharType="separate"/>
      </w:r>
      <w:r>
        <w:t>16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7E12602E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_Toc17230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bCs/>
          <w:kern w:val="2"/>
          <w:szCs w:val="32"/>
          <w:lang w:val="en-US" w:eastAsia="zh-CN" w:bidi="ar-SA"/>
        </w:rPr>
        <w:t xml:space="preserve">1.6、 </w:t>
      </w:r>
      <w:r>
        <w:rPr>
          <w:rFonts w:hint="eastAsia" w:cstheme="minorBidi"/>
          <w:bCs/>
          <w:kern w:val="2"/>
          <w:szCs w:val="32"/>
          <w:lang w:val="en-US" w:eastAsia="zh-CN" w:bidi="ar-SA"/>
        </w:rPr>
        <w:t>保费支付</w:t>
      </w:r>
      <w:r>
        <w:tab/>
      </w:r>
      <w:r>
        <w:fldChar w:fldCharType="begin"/>
      </w:r>
      <w:r>
        <w:instrText xml:space="preserve"> PAGEREF _Toc17230 \h </w:instrText>
      </w:r>
      <w:r>
        <w:fldChar w:fldCharType="separate"/>
      </w:r>
      <w:r>
        <w:t>19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4CBD9699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_Toc7573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lang w:val="en-US" w:eastAsia="zh-CN"/>
        </w:rPr>
        <w:t xml:space="preserve">1.7、 </w:t>
      </w:r>
      <w:r>
        <w:rPr>
          <w:rFonts w:hint="eastAsia"/>
          <w:lang w:val="en-US" w:eastAsia="zh-CN"/>
        </w:rPr>
        <w:t>保函发放</w:t>
      </w:r>
      <w:r>
        <w:tab/>
      </w:r>
      <w:r>
        <w:fldChar w:fldCharType="begin"/>
      </w:r>
      <w:r>
        <w:instrText xml:space="preserve"> PAGEREF _Toc7573 \h </w:instrText>
      </w:r>
      <w:r>
        <w:fldChar w:fldCharType="separate"/>
      </w:r>
      <w:r>
        <w:t>22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35B50358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_Toc7919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lang w:val="en-US" w:eastAsia="zh-CN"/>
        </w:rPr>
        <w:t xml:space="preserve">1.8、 </w:t>
      </w:r>
      <w:r>
        <w:rPr>
          <w:rFonts w:hint="eastAsia"/>
          <w:lang w:val="en-US" w:eastAsia="zh-CN"/>
        </w:rPr>
        <w:t>业务系统保函申请状态查询</w:t>
      </w:r>
      <w:r>
        <w:tab/>
      </w:r>
      <w:r>
        <w:fldChar w:fldCharType="begin"/>
      </w:r>
      <w:r>
        <w:instrText xml:space="preserve"> PAGEREF _Toc7919 \h </w:instrText>
      </w:r>
      <w:r>
        <w:fldChar w:fldCharType="separate"/>
      </w:r>
      <w:r>
        <w:t>25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58BA3E22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_Toc6145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lang w:val="en-US" w:eastAsia="zh-CN"/>
        </w:rPr>
        <w:t xml:space="preserve">1.9、 </w:t>
      </w:r>
      <w:r>
        <w:rPr>
          <w:rFonts w:hint="eastAsia"/>
          <w:lang w:val="en-US" w:eastAsia="zh-CN"/>
        </w:rPr>
        <w:t>退保申请（线下退保）</w:t>
      </w:r>
      <w:r>
        <w:tab/>
      </w:r>
      <w:r>
        <w:fldChar w:fldCharType="begin"/>
      </w:r>
      <w:r>
        <w:instrText xml:space="preserve"> PAGEREF _Toc6145 \h </w:instrText>
      </w:r>
      <w:r>
        <w:fldChar w:fldCharType="separate"/>
      </w:r>
      <w:r>
        <w:t>26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35DED302">
      <w:pPr>
        <w:pStyle w:val="16"/>
        <w:tabs>
          <w:tab w:val="right" w:leader="dot" w:pos="8306"/>
        </w:tabs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_Toc27737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 w:ascii="Times New Roman" w:hAnsi="Times New Roman" w:eastAsia="思源宋体 CN Light" w:cs="Tahoma"/>
          <w:lang w:eastAsia="zh-CN"/>
        </w:rPr>
        <w:t xml:space="preserve">1.10、 </w:t>
      </w:r>
      <w:r>
        <w:rPr>
          <w:rFonts w:hint="eastAsia"/>
          <w:lang w:val="en-US" w:eastAsia="zh-CN"/>
        </w:rPr>
        <w:t>发票申请</w:t>
      </w:r>
      <w:r>
        <w:tab/>
      </w:r>
      <w:r>
        <w:fldChar w:fldCharType="begin"/>
      </w:r>
      <w:r>
        <w:instrText xml:space="preserve"> PAGEREF _Toc27737 \h </w:instrText>
      </w:r>
      <w:r>
        <w:fldChar w:fldCharType="separate"/>
      </w:r>
      <w:r>
        <w:t>27</w:t>
      </w:r>
      <w:r>
        <w:fldChar w:fldCharType="end"/>
      </w:r>
      <w:r>
        <w:rPr>
          <w:rFonts w:hint="eastAsia"/>
          <w:lang w:val="en-US" w:eastAsia="zh-CN"/>
        </w:rPr>
        <w:fldChar w:fldCharType="end"/>
      </w:r>
    </w:p>
    <w:p w14:paraId="1D657651">
      <w:pPr>
        <w:bidi w:val="0"/>
        <w:rPr>
          <w:rFonts w:hint="eastAsia"/>
          <w:lang w:val="en-US" w:eastAsia="zh-CN"/>
        </w:rPr>
        <w:sectPr>
          <w:headerReference r:id="rId11" w:type="default"/>
          <w:footerReference r:id="rId12" w:type="default"/>
          <w:pgSz w:w="11906" w:h="16838"/>
          <w:pgMar w:top="1440" w:right="1800" w:bottom="1440" w:left="1800" w:header="624" w:footer="624" w:gutter="0"/>
          <w:pgNumType w:start="1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fldChar w:fldCharType="end"/>
      </w:r>
    </w:p>
    <w:p w14:paraId="48C3053F">
      <w:pPr>
        <w:pStyle w:val="2"/>
        <w:bidi w:val="0"/>
        <w:rPr>
          <w:rFonts w:hint="default"/>
          <w:lang w:val="en-US" w:eastAsia="zh-CN"/>
        </w:rPr>
      </w:pPr>
      <w:bookmarkStart w:id="1" w:name="_Toc12504"/>
      <w:bookmarkStart w:id="2" w:name="_Toc3542"/>
      <w:bookmarkStart w:id="3" w:name="_Toc9833"/>
      <w:bookmarkStart w:id="4" w:name="_Toc21947"/>
      <w:bookmarkStart w:id="5" w:name="_Toc28904"/>
      <w:r>
        <w:rPr>
          <w:rFonts w:hint="eastAsia"/>
          <w:lang w:val="en-US" w:eastAsia="zh-CN"/>
        </w:rPr>
        <w:t>河南能源集团融资担保操作流程</w:t>
      </w:r>
      <w:bookmarkEnd w:id="1"/>
      <w:bookmarkEnd w:id="2"/>
      <w:bookmarkEnd w:id="3"/>
      <w:bookmarkEnd w:id="4"/>
      <w:bookmarkEnd w:id="5"/>
    </w:p>
    <w:bookmarkEnd w:id="0"/>
    <w:p w14:paraId="2F9D2459">
      <w:pPr>
        <w:pStyle w:val="3"/>
        <w:tabs>
          <w:tab w:val="left" w:pos="0"/>
        </w:tabs>
        <w:bidi w:val="0"/>
        <w:rPr>
          <w:rFonts w:hint="eastAsia"/>
          <w:lang w:val="en-US" w:eastAsia="zh-CN"/>
        </w:rPr>
      </w:pPr>
      <w:bookmarkStart w:id="6" w:name="_Toc22596"/>
      <w:bookmarkStart w:id="7" w:name="_Toc28219"/>
      <w:bookmarkStart w:id="8" w:name="_Toc29106"/>
      <w:bookmarkStart w:id="9" w:name="_Toc30618"/>
      <w:bookmarkStart w:id="10" w:name="_Toc17253"/>
      <w:bookmarkStart w:id="11" w:name="_Toc3321"/>
      <w:r>
        <w:rPr>
          <w:rFonts w:hint="eastAsia"/>
          <w:lang w:val="en-US" w:eastAsia="zh-CN"/>
        </w:rPr>
        <w:t>客户</w:t>
      </w:r>
      <w:bookmarkEnd w:id="6"/>
      <w:bookmarkEnd w:id="7"/>
      <w:bookmarkEnd w:id="8"/>
      <w:bookmarkEnd w:id="9"/>
      <w:r>
        <w:rPr>
          <w:rFonts w:hint="eastAsia"/>
          <w:lang w:val="en-US" w:eastAsia="zh-CN"/>
        </w:rPr>
        <w:t>首次使用金融服务平台</w:t>
      </w:r>
      <w:bookmarkEnd w:id="10"/>
      <w:bookmarkEnd w:id="11"/>
    </w:p>
    <w:p w14:paraId="538B1174">
      <w:pPr>
        <w:numPr>
          <w:ilvl w:val="0"/>
          <w:numId w:val="0"/>
        </w:numPr>
        <w:ind w:left="0" w:leftChars="0" w:firstLine="420" w:firstLineChars="200"/>
      </w:pPr>
      <w:r>
        <w:rPr>
          <w:rFonts w:hint="eastAsia"/>
          <w:lang w:val="en-US" w:eastAsia="zh-CN"/>
        </w:rPr>
        <w:t>投</w:t>
      </w:r>
      <w:r>
        <w:t>标人</w:t>
      </w:r>
      <w:r>
        <w:rPr>
          <w:rFonts w:hint="eastAsia"/>
          <w:lang w:val="en-US" w:eastAsia="zh-CN"/>
        </w:rPr>
        <w:t>登录招投标平台后，可以通过“我的项目”，进入需要申请保函的项目，进入项目流程，点击流程中“保证金/保函缴纳”按钮，跳转至保证金保函查询界面，点击“保函申请”按钮进行保函申请。</w:t>
      </w:r>
    </w:p>
    <w:p w14:paraId="2E098516">
      <w:pPr>
        <w:pStyle w:val="32"/>
        <w:ind w:firstLine="0" w:firstLineChars="0"/>
      </w:pPr>
      <w:r>
        <w:drawing>
          <wp:inline distT="0" distB="0" distL="114300" distR="114300">
            <wp:extent cx="4693285" cy="2242185"/>
            <wp:effectExtent l="0" t="0" r="12065" b="5715"/>
            <wp:docPr id="6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9328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DBA79">
      <w:pPr>
        <w:pStyle w:val="32"/>
        <w:ind w:firstLine="0" w:firstLineChars="0"/>
      </w:pPr>
      <w:r>
        <w:drawing>
          <wp:inline distT="0" distB="0" distL="114300" distR="114300">
            <wp:extent cx="4648200" cy="2237105"/>
            <wp:effectExtent l="0" t="0" r="0" b="10795"/>
            <wp:docPr id="6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827AE">
      <w:pPr>
        <w:pStyle w:val="32"/>
      </w:pPr>
    </w:p>
    <w:p w14:paraId="2E03CE3A">
      <w:pPr>
        <w:pStyle w:val="32"/>
        <w:ind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852035" cy="2324735"/>
            <wp:effectExtent l="0" t="0" r="5715" b="18415"/>
            <wp:docPr id="7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52035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C2307">
      <w:pPr>
        <w:pStyle w:val="32"/>
        <w:ind w:firstLine="420"/>
        <w:rPr>
          <w:rFonts w:hint="eastAsia"/>
          <w:lang w:val="en-US" w:eastAsia="zh-CN"/>
        </w:rPr>
      </w:pPr>
    </w:p>
    <w:p w14:paraId="638D737F">
      <w:pPr>
        <w:pStyle w:val="32"/>
        <w:ind w:firstLine="420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阅读服务协议后，点击确定。</w:t>
      </w:r>
    </w:p>
    <w:p w14:paraId="521B20F6">
      <w:pPr>
        <w:pStyle w:val="32"/>
        <w:ind w:firstLine="0" w:firstLineChars="0"/>
      </w:pPr>
      <w:r>
        <w:drawing>
          <wp:inline distT="0" distB="0" distL="114300" distR="114300">
            <wp:extent cx="4910455" cy="2341880"/>
            <wp:effectExtent l="0" t="0" r="4445" b="1270"/>
            <wp:docPr id="7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1045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BE497">
      <w:pPr>
        <w:pStyle w:val="32"/>
        <w:ind w:firstLine="0" w:firstLineChars="0"/>
      </w:pPr>
    </w:p>
    <w:p w14:paraId="12F19D89">
      <w:pPr>
        <w:pStyle w:val="32"/>
        <w:ind w:left="0" w:leftChars="0" w:firstLine="0" w:firstLineChars="0"/>
        <w:rPr>
          <w:rFonts w:hint="default"/>
          <w:lang w:val="en-US" w:eastAsia="zh-CN"/>
        </w:rPr>
      </w:pPr>
    </w:p>
    <w:p w14:paraId="44B5EC2C">
      <w:pPr>
        <w:pStyle w:val="3"/>
        <w:tabs>
          <w:tab w:val="left" w:pos="0"/>
        </w:tabs>
        <w:bidi w:val="0"/>
        <w:rPr>
          <w:rFonts w:hint="eastAsia" w:ascii="Times New Roman" w:hAnsi="Times New Roman" w:eastAsia="思源宋体 CN Light" w:cstheme="minorBidi"/>
          <w:b/>
          <w:bCs/>
          <w:kern w:val="2"/>
          <w:sz w:val="30"/>
          <w:szCs w:val="32"/>
          <w:lang w:val="en-US" w:eastAsia="zh-CN" w:bidi="ar-SA"/>
        </w:rPr>
      </w:pPr>
      <w:bookmarkStart w:id="12" w:name="_Toc24239"/>
      <w:bookmarkStart w:id="13" w:name="_Toc1268"/>
      <w:bookmarkStart w:id="14" w:name="_Toc25095"/>
      <w:bookmarkStart w:id="15" w:name="_Toc5552"/>
      <w:bookmarkStart w:id="16" w:name="_Toc3926"/>
      <w:bookmarkStart w:id="17" w:name="_Toc14957"/>
      <w:r>
        <w:rPr>
          <w:rFonts w:hint="eastAsia" w:cstheme="minorBidi"/>
          <w:b/>
          <w:bCs/>
          <w:kern w:val="2"/>
          <w:sz w:val="30"/>
          <w:szCs w:val="32"/>
          <w:lang w:val="en-US" w:eastAsia="zh-CN" w:bidi="ar-SA"/>
        </w:rPr>
        <w:t>完善企业信息</w:t>
      </w:r>
      <w:bookmarkEnd w:id="12"/>
      <w:bookmarkEnd w:id="13"/>
      <w:bookmarkEnd w:id="14"/>
      <w:bookmarkEnd w:id="15"/>
    </w:p>
    <w:p w14:paraId="76E76C53">
      <w:pPr>
        <w:pStyle w:val="32"/>
        <w:ind w:left="0" w:leftChars="0" w:firstLine="420" w:firstLineChars="200"/>
      </w:pPr>
      <w:r>
        <w:rPr>
          <w:rFonts w:hint="eastAsia"/>
          <w:lang w:val="en-US" w:eastAsia="zh-CN"/>
        </w:rPr>
        <w:t>此时跳转至金融服务平台后，如若为首次申请，请先完善企业信息。</w:t>
      </w:r>
      <w:r>
        <w:drawing>
          <wp:inline distT="0" distB="0" distL="114300" distR="114300">
            <wp:extent cx="4993005" cy="2379980"/>
            <wp:effectExtent l="0" t="0" r="17145" b="1270"/>
            <wp:docPr id="7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93005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76F84">
      <w:pPr>
        <w:pStyle w:val="32"/>
        <w:rPr>
          <w:rFonts w:hint="eastAsia"/>
          <w:lang w:val="en-US" w:eastAsia="zh-CN"/>
        </w:rPr>
      </w:pPr>
    </w:p>
    <w:p w14:paraId="521CE59C">
      <w:pPr>
        <w:pStyle w:val="3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标注为</w:t>
      </w:r>
      <w:r>
        <w:rPr>
          <w:rFonts w:hint="eastAsia"/>
          <w:color w:val="FF0000"/>
          <w:lang w:val="en-US" w:eastAsia="zh-CN"/>
        </w:rPr>
        <w:t>*</w:t>
      </w:r>
      <w:r>
        <w:rPr>
          <w:rFonts w:hint="eastAsia"/>
          <w:lang w:val="en-US" w:eastAsia="zh-CN"/>
        </w:rPr>
        <w:t>的选项与证件上传部分（企业营业执照、开户许可证、法人身份证正反面照片）为必传项。</w:t>
      </w:r>
    </w:p>
    <w:p w14:paraId="193D3E5F">
      <w:pPr>
        <w:pStyle w:val="32"/>
        <w:ind w:left="0" w:leftChars="0" w:firstLine="0" w:firstLineChars="0"/>
      </w:pPr>
      <w:r>
        <w:rPr>
          <w:color w:val="auto"/>
        </w:rPr>
        <w:drawing>
          <wp:inline distT="0" distB="0" distL="114300" distR="114300">
            <wp:extent cx="4980305" cy="2379345"/>
            <wp:effectExtent l="0" t="0" r="10795" b="1905"/>
            <wp:docPr id="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1105" cy="2407920"/>
            <wp:effectExtent l="0" t="0" r="17145" b="11430"/>
            <wp:docPr id="7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3110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CE281">
      <w:pPr>
        <w:pStyle w:val="32"/>
        <w:ind w:left="0" w:leftChars="0" w:firstLine="0" w:firstLineChars="0"/>
      </w:pPr>
    </w:p>
    <w:p w14:paraId="2A2C41A0">
      <w:pPr>
        <w:pStyle w:val="32"/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完善企业信息后，点击右上角“保存企业信息”按钮，出现“企业信息保存成功！如需继续申请保函，请点击下方【申请保函】按钮”提示，点击【申请保函】按钮后选择产品，搜索项目标段号，选择项目后进行对应产品所在金融机构的授信信息完善。</w:t>
      </w:r>
    </w:p>
    <w:p w14:paraId="768A899E">
      <w:pPr>
        <w:pStyle w:val="32"/>
        <w:ind w:left="0" w:leftChars="0" w:firstLine="0" w:firstLineChars="0"/>
      </w:pPr>
      <w:r>
        <w:drawing>
          <wp:inline distT="0" distB="0" distL="114300" distR="114300">
            <wp:extent cx="5034915" cy="2392045"/>
            <wp:effectExtent l="0" t="0" r="13335" b="8255"/>
            <wp:docPr id="8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349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1F0EB">
      <w:pPr>
        <w:pStyle w:val="32"/>
        <w:ind w:left="0" w:leftChars="0" w:firstLine="0" w:firstLineChars="0"/>
      </w:pPr>
    </w:p>
    <w:p w14:paraId="31A0C94C">
      <w:pPr>
        <w:pStyle w:val="32"/>
        <w:ind w:left="0" w:leftChars="0" w:firstLine="0" w:firstLineChars="0"/>
      </w:pPr>
      <w:r>
        <w:drawing>
          <wp:inline distT="0" distB="0" distL="114300" distR="114300">
            <wp:extent cx="5266690" cy="2648585"/>
            <wp:effectExtent l="0" t="0" r="3810" b="571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C3010">
      <w:pPr>
        <w:pStyle w:val="32"/>
        <w:ind w:left="0" w:leftChars="0" w:firstLine="0" w:firstLineChars="0"/>
      </w:pPr>
    </w:p>
    <w:p w14:paraId="3FA285AA">
      <w:pPr>
        <w:pStyle w:val="32"/>
        <w:ind w:left="0" w:leftChars="0" w:firstLine="0" w:firstLineChars="0"/>
      </w:pPr>
      <w:r>
        <w:drawing>
          <wp:inline distT="0" distB="0" distL="114300" distR="114300">
            <wp:extent cx="5255260" cy="2675890"/>
            <wp:effectExtent l="0" t="0" r="2540" b="381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0B504">
      <w:pPr>
        <w:pStyle w:val="32"/>
        <w:ind w:left="0" w:leftChars="0" w:firstLine="0" w:firstLineChars="0"/>
        <w:rPr>
          <w:rFonts w:hint="eastAsia"/>
          <w:lang w:val="en-US" w:eastAsia="zh-CN"/>
        </w:rPr>
      </w:pPr>
    </w:p>
    <w:p w14:paraId="7F7FA1F5">
      <w:pPr>
        <w:pStyle w:val="32"/>
        <w:ind w:left="0" w:leftChars="0" w:firstLine="0" w:firstLineChars="0"/>
        <w:rPr>
          <w:rFonts w:hint="eastAsia"/>
          <w:lang w:val="en-US" w:eastAsia="zh-CN"/>
        </w:rPr>
      </w:pPr>
    </w:p>
    <w:p w14:paraId="1B496D13">
      <w:pPr>
        <w:pStyle w:val="32"/>
        <w:ind w:left="0" w:leftChars="0" w:firstLine="420" w:firstLineChars="200"/>
        <w:rPr>
          <w:rFonts w:hint="eastAsia" w:eastAsia="思源宋体 CN Light"/>
          <w:lang w:val="en-US" w:eastAsia="zh-CN"/>
        </w:rPr>
      </w:pPr>
      <w:r>
        <w:rPr>
          <w:rFonts w:hint="eastAsia"/>
          <w:lang w:val="en-US" w:eastAsia="zh-CN"/>
        </w:rPr>
        <w:t>搜索项目标段号：</w:t>
      </w:r>
    </w:p>
    <w:p w14:paraId="7F118E26">
      <w:pPr>
        <w:pStyle w:val="32"/>
        <w:ind w:left="0" w:leftChars="0" w:firstLine="0" w:firstLineChars="0"/>
      </w:pPr>
      <w:r>
        <w:drawing>
          <wp:inline distT="0" distB="0" distL="114300" distR="114300">
            <wp:extent cx="5266690" cy="2648585"/>
            <wp:effectExtent l="0" t="0" r="3810" b="5715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5D070">
      <w:pPr>
        <w:pStyle w:val="32"/>
        <w:ind w:left="0" w:leftChars="0" w:firstLine="0" w:firstLineChars="0"/>
      </w:pPr>
    </w:p>
    <w:p w14:paraId="1451A99A">
      <w:pPr>
        <w:pStyle w:val="32"/>
        <w:ind w:left="0" w:leftChars="0" w:firstLine="0" w:firstLineChars="0"/>
      </w:pPr>
    </w:p>
    <w:p w14:paraId="56B6679D">
      <w:pPr>
        <w:pStyle w:val="32"/>
        <w:ind w:left="0" w:leftChars="0" w:firstLine="0" w:firstLineChars="0"/>
      </w:pPr>
      <w:r>
        <w:drawing>
          <wp:inline distT="0" distB="0" distL="114300" distR="114300">
            <wp:extent cx="5266690" cy="2625090"/>
            <wp:effectExtent l="0" t="0" r="3810" b="381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B7D95">
      <w:pPr>
        <w:pStyle w:val="32"/>
        <w:ind w:left="0" w:leftChars="0" w:firstLine="420" w:firstLineChars="200"/>
      </w:pPr>
      <w:r>
        <w:rPr>
          <w:rFonts w:hint="eastAsia"/>
          <w:lang w:val="en-US" w:eastAsia="zh-CN"/>
        </w:rPr>
        <w:t>后续流程详见章节“1.4、保函申请材料盖章”。</w:t>
      </w:r>
    </w:p>
    <w:p w14:paraId="3B4D9515">
      <w:pPr>
        <w:pStyle w:val="32"/>
        <w:ind w:left="0" w:leftChars="0" w:firstLine="0" w:firstLineChars="0"/>
      </w:pPr>
    </w:p>
    <w:p w14:paraId="093405B0">
      <w:pPr>
        <w:pStyle w:val="3"/>
        <w:ind w:left="0" w:leftChars="0" w:firstLineChars="0"/>
      </w:pPr>
      <w:bookmarkStart w:id="18" w:name="_Toc26319"/>
      <w:bookmarkStart w:id="19" w:name="_Toc31912"/>
      <w:r>
        <w:rPr>
          <w:rFonts w:hint="eastAsia"/>
          <w:lang w:val="en-US" w:eastAsia="zh-CN"/>
        </w:rPr>
        <w:t>客户非首次使用金融服务平台</w:t>
      </w:r>
      <w:bookmarkEnd w:id="18"/>
      <w:bookmarkEnd w:id="19"/>
    </w:p>
    <w:bookmarkEnd w:id="16"/>
    <w:bookmarkEnd w:id="17"/>
    <w:p w14:paraId="186B7145">
      <w:pPr>
        <w:pStyle w:val="4"/>
        <w:rPr>
          <w:rFonts w:hint="default"/>
          <w:lang w:val="en-US" w:eastAsia="zh-CN"/>
        </w:rPr>
      </w:pPr>
      <w:bookmarkStart w:id="20" w:name="_Toc28249"/>
      <w:bookmarkStart w:id="21" w:name="_Toc24360"/>
      <w:r>
        <w:rPr>
          <w:rFonts w:hint="eastAsia"/>
          <w:lang w:val="en-US" w:eastAsia="zh-CN"/>
        </w:rPr>
        <w:t>通过招投标平台跳转金融服务平台</w:t>
      </w:r>
      <w:bookmarkEnd w:id="20"/>
      <w:bookmarkEnd w:id="21"/>
    </w:p>
    <w:p w14:paraId="330B7E90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客户可通过电子招投标平台，于该项目流程中“保证金保函申请查询”页面，点击“保函申请”按钮跳转至金融服务平台。</w:t>
      </w:r>
    </w:p>
    <w:p w14:paraId="7FA04DAA">
      <w:pPr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648585"/>
            <wp:effectExtent l="0" t="0" r="3810" b="5715"/>
            <wp:docPr id="4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08901">
      <w:pPr>
        <w:ind w:firstLine="420" w:firstLineChars="200"/>
        <w:rPr>
          <w:rFonts w:hint="eastAsia"/>
          <w:lang w:val="en-US" w:eastAsia="zh-CN"/>
        </w:rPr>
      </w:pPr>
    </w:p>
    <w:p w14:paraId="19E82F43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跳转至金融服务平台后，选择“河南能源集团融资担保”金融机构申请保函，后续流程详见章节“1.4、保函申请材料盖章”。</w:t>
      </w:r>
    </w:p>
    <w:p w14:paraId="4FD1C7B4">
      <w:pPr>
        <w:ind w:firstLine="0" w:firstLineChars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629535"/>
            <wp:effectExtent l="0" t="0" r="3810" b="12065"/>
            <wp:docPr id="4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4A349">
      <w:pPr>
        <w:pStyle w:val="4"/>
        <w:rPr>
          <w:rFonts w:hint="default"/>
          <w:lang w:val="en-US" w:eastAsia="zh-CN"/>
        </w:rPr>
      </w:pPr>
      <w:bookmarkStart w:id="22" w:name="_Toc7838"/>
      <w:bookmarkStart w:id="23" w:name="_Toc28909"/>
      <w:r>
        <w:rPr>
          <w:rFonts w:hint="eastAsia"/>
          <w:lang w:val="en-US" w:eastAsia="zh-CN"/>
        </w:rPr>
        <w:t>直接登录金融服务平台</w:t>
      </w:r>
      <w:bookmarkEnd w:id="22"/>
      <w:bookmarkEnd w:id="23"/>
    </w:p>
    <w:p w14:paraId="0D2982E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客户可通过直接输入金融服务平台域名进入该平台首页，并点击右上角“登录”按钮进行平台登录。</w:t>
      </w:r>
    </w:p>
    <w:p w14:paraId="698A6430">
      <w:pPr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625090"/>
            <wp:effectExtent l="0" t="0" r="3810" b="3810"/>
            <wp:docPr id="4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9A078">
      <w:pPr>
        <w:ind w:firstLine="420" w:firstLineChars="200"/>
        <w:rPr>
          <w:rFonts w:hint="eastAsia"/>
          <w:lang w:val="en-US" w:eastAsia="zh-CN"/>
        </w:rPr>
      </w:pPr>
    </w:p>
    <w:p w14:paraId="2080417D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点击“登录”按钮后，可选择使用CA锁或标证通扫码进行登录。</w:t>
      </w:r>
    </w:p>
    <w:p w14:paraId="27987C8C">
      <w:pPr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649855"/>
            <wp:effectExtent l="0" t="0" r="3810" b="4445"/>
            <wp:docPr id="4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D758D">
      <w:pPr>
        <w:ind w:firstLine="420" w:firstLineChars="200"/>
        <w:rPr>
          <w:rFonts w:hint="eastAsia"/>
          <w:lang w:val="en-US" w:eastAsia="zh-CN"/>
        </w:rPr>
      </w:pPr>
    </w:p>
    <w:p w14:paraId="505213F3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完成登录后，点击上方“产品服务”按钮，选择金融机构进行保函申请。</w:t>
      </w:r>
    </w:p>
    <w:p w14:paraId="49C36185">
      <w:pPr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637790"/>
            <wp:effectExtent l="0" t="0" r="3810" b="3810"/>
            <wp:docPr id="4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DF782">
      <w:pPr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641600"/>
            <wp:effectExtent l="0" t="0" r="3810" b="0"/>
            <wp:docPr id="4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00BA9">
      <w:pPr>
        <w:ind w:firstLine="420" w:firstLineChars="200"/>
        <w:rPr>
          <w:rFonts w:hint="eastAsia"/>
          <w:lang w:val="en-US" w:eastAsia="zh-CN"/>
        </w:rPr>
      </w:pPr>
    </w:p>
    <w:p w14:paraId="775AE1AE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选择金融机构后，点击“立即申请”按钮进入标段选择页面。</w:t>
      </w:r>
    </w:p>
    <w:p w14:paraId="62BC5A9E">
      <w:pPr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616835"/>
            <wp:effectExtent l="0" t="0" r="3810" b="12065"/>
            <wp:docPr id="5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A4B7B">
      <w:pPr>
        <w:ind w:firstLine="0" w:firstLineChars="0"/>
        <w:rPr>
          <w:rFonts w:hint="default"/>
          <w:lang w:val="en-US" w:eastAsia="zh-CN"/>
        </w:rPr>
      </w:pPr>
    </w:p>
    <w:p w14:paraId="500CEC08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标段选择页可输入标段编号进行快速查询，完成查询后点击立即“立即申请”按钮申请保函。</w:t>
      </w:r>
    </w:p>
    <w:p w14:paraId="64934C1E">
      <w:pPr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628265"/>
            <wp:effectExtent l="0" t="0" r="3810" b="635"/>
            <wp:docPr id="5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775BF">
      <w:pPr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2637790"/>
            <wp:effectExtent l="0" t="0" r="7620" b="3810"/>
            <wp:docPr id="5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69F92">
      <w:pPr>
        <w:keepNext w:val="0"/>
        <w:keepLines w:val="0"/>
        <w:widowControl w:val="0"/>
        <w:numPr>
          <w:ilvl w:val="1"/>
          <w:numId w:val="1"/>
        </w:numPr>
        <w:bidi w:val="0"/>
        <w:spacing w:before="120" w:after="120" w:line="360" w:lineRule="auto"/>
        <w:ind w:left="0" w:firstLine="0" w:firstLineChars="0"/>
        <w:jc w:val="both"/>
        <w:outlineLvl w:val="1"/>
        <w:rPr>
          <w:rFonts w:hint="eastAsia" w:ascii="Times New Roman" w:hAnsi="Times New Roman" w:eastAsia="思源宋体 CN Light" w:cstheme="minorBidi"/>
          <w:b/>
          <w:bCs/>
          <w:kern w:val="2"/>
          <w:sz w:val="30"/>
          <w:szCs w:val="32"/>
          <w:lang w:val="en-US" w:eastAsia="zh-CN" w:bidi="ar-SA"/>
        </w:rPr>
      </w:pPr>
      <w:bookmarkStart w:id="24" w:name="_Toc25553"/>
      <w:bookmarkStart w:id="25" w:name="_Toc16570"/>
      <w:bookmarkStart w:id="26" w:name="_Toc4470"/>
      <w:bookmarkStart w:id="27" w:name="OLE_LINK1"/>
      <w:bookmarkStart w:id="28" w:name="_Toc16906"/>
      <w:bookmarkStart w:id="29" w:name="_Toc29384"/>
      <w:r>
        <w:rPr>
          <w:rFonts w:hint="eastAsia" w:ascii="Times New Roman" w:hAnsi="Times New Roman" w:eastAsia="思源宋体 CN Light" w:cstheme="minorBidi"/>
          <w:b/>
          <w:bCs/>
          <w:kern w:val="2"/>
          <w:sz w:val="30"/>
          <w:szCs w:val="32"/>
          <w:lang w:val="en-US" w:eastAsia="zh-CN" w:bidi="ar-SA"/>
        </w:rPr>
        <w:t>保函</w:t>
      </w:r>
      <w:r>
        <w:rPr>
          <w:rFonts w:hint="eastAsia" w:cstheme="minorBidi"/>
          <w:b/>
          <w:bCs/>
          <w:kern w:val="2"/>
          <w:sz w:val="30"/>
          <w:szCs w:val="32"/>
          <w:lang w:val="en-US" w:eastAsia="zh-CN" w:bidi="ar-SA"/>
        </w:rPr>
        <w:t>申请材料</w:t>
      </w:r>
      <w:r>
        <w:rPr>
          <w:rFonts w:hint="eastAsia" w:ascii="Times New Roman" w:hAnsi="Times New Roman" w:eastAsia="思源宋体 CN Light" w:cstheme="minorBidi"/>
          <w:b/>
          <w:bCs/>
          <w:kern w:val="2"/>
          <w:sz w:val="30"/>
          <w:szCs w:val="32"/>
          <w:lang w:val="en-US" w:eastAsia="zh-CN" w:bidi="ar-SA"/>
        </w:rPr>
        <w:t>签章</w:t>
      </w:r>
      <w:bookmarkEnd w:id="24"/>
      <w:bookmarkEnd w:id="25"/>
      <w:bookmarkEnd w:id="26"/>
      <w:bookmarkEnd w:id="27"/>
      <w:bookmarkEnd w:id="28"/>
      <w:bookmarkEnd w:id="29"/>
    </w:p>
    <w:p w14:paraId="750071BF">
      <w:pPr>
        <w:bidi w:val="0"/>
        <w:rPr>
          <w:rFonts w:hint="eastAsia" w:ascii="Times New Roman" w:hAnsi="Times New Roman" w:eastAsia="思源宋体 CN Light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>点击</w:t>
      </w:r>
      <w:r>
        <w:rPr>
          <w:rFonts w:hint="eastAsia"/>
          <w:highlight w:val="none"/>
          <w:lang w:val="en-US" w:eastAsia="zh-CN"/>
        </w:rPr>
        <w:t>“确认”按</w:t>
      </w:r>
      <w:r>
        <w:rPr>
          <w:rFonts w:hint="eastAsia"/>
          <w:lang w:val="en-US" w:eastAsia="zh-CN"/>
        </w:rPr>
        <w:t>钮后选择对该投标项目信息加密方式。</w:t>
      </w:r>
    </w:p>
    <w:p w14:paraId="1CC005D9">
      <w:pPr>
        <w:pStyle w:val="32"/>
        <w:ind w:firstLine="0" w:firstLineChars="0"/>
      </w:pPr>
      <w:r>
        <w:drawing>
          <wp:inline distT="0" distB="0" distL="114300" distR="114300">
            <wp:extent cx="5266690" cy="2646045"/>
            <wp:effectExtent l="0" t="0" r="3810" b="8255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98BCB">
      <w:pPr>
        <w:pStyle w:val="32"/>
      </w:pPr>
    </w:p>
    <w:p w14:paraId="338E1A5F">
      <w:pPr>
        <w:pStyle w:val="32"/>
      </w:pPr>
      <w:r>
        <w:rPr>
          <w:rFonts w:hint="eastAsia"/>
          <w:lang w:val="en-US" w:eastAsia="zh-CN"/>
        </w:rPr>
        <w:t>可使用实体CA锁选择“CA锁加密”或使用手机标证通选择“扫码加密”</w:t>
      </w:r>
    </w:p>
    <w:p w14:paraId="5F1E4E6B">
      <w:pPr>
        <w:pStyle w:val="32"/>
        <w:ind w:firstLine="0" w:firstLineChars="0"/>
      </w:pPr>
      <w:r>
        <w:drawing>
          <wp:inline distT="0" distB="0" distL="114300" distR="114300">
            <wp:extent cx="5266690" cy="2629535"/>
            <wp:effectExtent l="0" t="0" r="3810" b="1206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FF7ED">
      <w:pPr>
        <w:pStyle w:val="32"/>
        <w:ind w:firstLine="0" w:firstLineChars="0"/>
      </w:pPr>
      <w:r>
        <w:drawing>
          <wp:inline distT="0" distB="0" distL="114300" distR="114300">
            <wp:extent cx="5266690" cy="2621280"/>
            <wp:effectExtent l="0" t="0" r="3810" b="7620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AEC83">
      <w:pPr>
        <w:pStyle w:val="32"/>
        <w:ind w:firstLine="0" w:firstLineChars="0"/>
      </w:pPr>
    </w:p>
    <w:p w14:paraId="60495E26">
      <w:pPr>
        <w:pStyle w:val="32"/>
        <w:ind w:firstLine="420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完成选择加密方式后，点击“确认加密”按钮，对项目信息进行加密。</w:t>
      </w:r>
    </w:p>
    <w:p w14:paraId="7E608877">
      <w:pPr>
        <w:pStyle w:val="3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46045"/>
            <wp:effectExtent l="0" t="0" r="3810" b="8255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BCA8F">
      <w:pPr>
        <w:pStyle w:val="32"/>
        <w:ind w:left="0" w:leftChars="0" w:firstLine="420" w:firstLineChars="200"/>
        <w:rPr>
          <w:rFonts w:hint="eastAsia"/>
          <w:lang w:val="en-US" w:eastAsia="zh-CN"/>
        </w:rPr>
      </w:pPr>
    </w:p>
    <w:p w14:paraId="2E5D63E4">
      <w:pPr>
        <w:pStyle w:val="3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点击确认加密后，自动加载进入新页面，并弹窗提示跳转至金融机构完成后续流程。</w:t>
      </w:r>
    </w:p>
    <w:p w14:paraId="69B23FDA">
      <w:pPr>
        <w:pStyle w:val="3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863850"/>
            <wp:effectExtent l="0" t="0" r="381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252E1">
      <w:pPr>
        <w:pStyle w:val="32"/>
        <w:ind w:left="0" w:leftChars="0" w:firstLine="0" w:firstLineChars="0"/>
        <w:rPr>
          <w:rFonts w:hint="eastAsia"/>
          <w:lang w:val="en-US" w:eastAsia="zh-CN"/>
        </w:rPr>
      </w:pPr>
    </w:p>
    <w:p w14:paraId="408792F5">
      <w:pPr>
        <w:pStyle w:val="3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点击“跳转金融机构”按钮，提示使用投标时CA对项目信息解密，可选择标证通或实体CA进行解密。</w:t>
      </w:r>
    </w:p>
    <w:p w14:paraId="506534B3">
      <w:pPr>
        <w:pStyle w:val="3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862580"/>
            <wp:effectExtent l="0" t="0" r="381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475F7">
      <w:pPr>
        <w:pStyle w:val="3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862580"/>
            <wp:effectExtent l="0" t="0" r="381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2A3DF">
      <w:pPr>
        <w:pStyle w:val="32"/>
        <w:ind w:left="0" w:leftChars="0" w:firstLine="0" w:firstLineChars="0"/>
        <w:rPr>
          <w:rFonts w:hint="eastAsia"/>
          <w:lang w:val="en-US" w:eastAsia="zh-CN"/>
        </w:rPr>
      </w:pPr>
    </w:p>
    <w:p w14:paraId="60CB27BF">
      <w:pPr>
        <w:pStyle w:val="3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点击立即解密后，跳转至能源电子保函登录页面，期间加载出账号密码登录栏，3秒后自动免密跳转能源电子保函页面。</w:t>
      </w:r>
    </w:p>
    <w:p w14:paraId="23D33032">
      <w:pPr>
        <w:pStyle w:val="3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862580"/>
            <wp:effectExtent l="0" t="0" r="381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33DA0">
      <w:pPr>
        <w:pStyle w:val="32"/>
        <w:ind w:left="0" w:leftChars="0" w:firstLine="0" w:firstLineChars="0"/>
        <w:rPr>
          <w:rFonts w:hint="eastAsia"/>
          <w:lang w:val="en-US" w:eastAsia="zh-CN"/>
        </w:rPr>
      </w:pPr>
    </w:p>
    <w:p w14:paraId="49706C47">
      <w:pPr>
        <w:pStyle w:val="3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阅读“电子保函平台委托保证合同”后，点击下方“同意”按钮即可进入电子保函平台。</w:t>
      </w:r>
    </w:p>
    <w:p w14:paraId="325DF9FE">
      <w:pPr>
        <w:pStyle w:val="32"/>
        <w:ind w:left="0" w:leftChars="0" w:firstLine="0" w:firstLineChars="0"/>
        <w:rPr>
          <w:rFonts w:hint="eastAsia"/>
          <w:lang w:val="en-US" w:eastAsia="zh-CN"/>
        </w:rPr>
      </w:pPr>
    </w:p>
    <w:p w14:paraId="5882C144">
      <w:pPr>
        <w:pStyle w:val="32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9545" cy="2640965"/>
            <wp:effectExtent l="0" t="0" r="8255" b="635"/>
            <wp:docPr id="2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9545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223F1">
      <w:pPr>
        <w:pStyle w:val="32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648585"/>
            <wp:effectExtent l="0" t="0" r="3810" b="571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48E2C">
      <w:pPr>
        <w:pStyle w:val="32"/>
        <w:ind w:left="0" w:leftChars="0" w:firstLine="0" w:firstLineChars="0"/>
        <w:rPr>
          <w:rFonts w:hint="eastAsia"/>
          <w:lang w:val="en-US" w:eastAsia="zh-CN"/>
        </w:rPr>
      </w:pPr>
    </w:p>
    <w:p w14:paraId="3C6A1855">
      <w:pPr>
        <w:pStyle w:val="32"/>
        <w:ind w:left="0" w:leftChars="0" w:firstLine="0" w:firstLineChars="0"/>
        <w:rPr>
          <w:rFonts w:hint="eastAsia"/>
          <w:lang w:val="en-US" w:eastAsia="zh-CN"/>
        </w:rPr>
      </w:pPr>
    </w:p>
    <w:p w14:paraId="01E22B31">
      <w:pPr>
        <w:keepNext w:val="0"/>
        <w:keepLines w:val="0"/>
        <w:widowControl w:val="0"/>
        <w:numPr>
          <w:ilvl w:val="1"/>
          <w:numId w:val="1"/>
        </w:numPr>
        <w:bidi w:val="0"/>
        <w:spacing w:before="120" w:after="120" w:line="360" w:lineRule="auto"/>
        <w:ind w:left="0" w:firstLine="0" w:firstLineChars="0"/>
        <w:jc w:val="both"/>
        <w:outlineLvl w:val="1"/>
        <w:rPr>
          <w:rFonts w:hint="default" w:ascii="Times New Roman" w:hAnsi="Times New Roman" w:eastAsia="思源宋体 CN Light" w:cstheme="minorBidi"/>
          <w:b/>
          <w:bCs/>
          <w:kern w:val="2"/>
          <w:sz w:val="30"/>
          <w:szCs w:val="32"/>
          <w:lang w:val="en-US" w:eastAsia="zh-CN" w:bidi="ar-SA"/>
        </w:rPr>
      </w:pPr>
      <w:bookmarkStart w:id="30" w:name="_Toc8229"/>
      <w:bookmarkStart w:id="31" w:name="_Toc16141"/>
      <w:bookmarkStart w:id="32" w:name="_Toc19261"/>
      <w:bookmarkStart w:id="33" w:name="_Toc16233"/>
      <w:bookmarkStart w:id="34" w:name="_Toc4326"/>
      <w:r>
        <w:rPr>
          <w:rFonts w:hint="eastAsia" w:ascii="Times New Roman" w:hAnsi="Times New Roman" w:eastAsia="思源宋体 CN Light" w:cstheme="minorBidi"/>
          <w:b/>
          <w:bCs/>
          <w:kern w:val="2"/>
          <w:sz w:val="30"/>
          <w:szCs w:val="32"/>
          <w:lang w:val="en-US" w:eastAsia="zh-CN" w:bidi="ar-SA"/>
        </w:rPr>
        <w:t>经办人信息填写</w:t>
      </w:r>
      <w:bookmarkEnd w:id="30"/>
      <w:bookmarkEnd w:id="31"/>
      <w:bookmarkEnd w:id="32"/>
      <w:bookmarkEnd w:id="33"/>
      <w:bookmarkEnd w:id="34"/>
    </w:p>
    <w:p w14:paraId="060C3E34">
      <w:pPr>
        <w:bidi w:val="0"/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/>
        </w:rPr>
        <w:t>操作步骤：</w:t>
      </w:r>
      <w:r>
        <w:rPr>
          <w:rFonts w:hint="eastAsia"/>
          <w:lang w:val="en-US" w:eastAsia="zh-CN"/>
        </w:rPr>
        <w:t>正确输入“1.项目信息”栏中经办人名称及经办人手机号，并点击“保存”按钮即可进行短信验证码验证</w:t>
      </w: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。</w:t>
      </w:r>
    </w:p>
    <w:p w14:paraId="74279064">
      <w:pPr>
        <w:bidi w:val="0"/>
        <w:ind w:firstLine="0" w:firstLineChars="0"/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50815" cy="2627630"/>
            <wp:effectExtent l="0" t="0" r="6985" b="1270"/>
            <wp:docPr id="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18C86">
      <w:pPr>
        <w:bidi w:val="0"/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</w:pPr>
    </w:p>
    <w:p w14:paraId="21849FAF">
      <w:pPr>
        <w:bidi w:val="0"/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验证通过后“验证码”栏自动提示“经办人已校验”。</w:t>
      </w:r>
    </w:p>
    <w:p w14:paraId="7955201E">
      <w:pPr>
        <w:bidi w:val="0"/>
        <w:ind w:firstLine="0" w:firstLineChars="0"/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64150" cy="2636520"/>
            <wp:effectExtent l="0" t="0" r="6350" b="5080"/>
            <wp:docPr id="2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2B7E3">
      <w:pPr>
        <w:bidi w:val="0"/>
        <w:ind w:firstLine="0" w:firstLineChars="0"/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</w:pPr>
    </w:p>
    <w:p w14:paraId="0BE5BCDD">
      <w:pPr>
        <w:bidi w:val="0"/>
        <w:ind w:firstLine="420" w:firstLineChars="200"/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  <w:t>“2.出函机构”</w:t>
      </w: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栏鼠标点击</w:t>
      </w:r>
      <w:r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  <w:t>选择</w:t>
      </w: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“河南能源集团融资担保有限公司”</w:t>
      </w:r>
      <w:r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  <w:t>，出现弹窗提示并确认。</w:t>
      </w:r>
    </w:p>
    <w:p w14:paraId="166C94A9">
      <w:pPr>
        <w:bidi w:val="0"/>
        <w:ind w:firstLine="0" w:firstLineChars="0"/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61610" cy="2645410"/>
            <wp:effectExtent l="0" t="0" r="8890" b="8890"/>
            <wp:docPr id="2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A29F7">
      <w:pPr>
        <w:bidi w:val="0"/>
        <w:ind w:firstLine="0" w:firstLineChars="0"/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</w:pPr>
    </w:p>
    <w:p w14:paraId="24749D4C">
      <w:pPr>
        <w:bidi w:val="0"/>
        <w:ind w:firstLine="420" w:firstLineChars="200"/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  <w:t>弹窗</w:t>
      </w: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点击“确认”按钮</w:t>
      </w:r>
      <w:r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  <w:t>后需对声明页面进行同意确认。</w:t>
      </w:r>
    </w:p>
    <w:p w14:paraId="62AAC98F">
      <w:pPr>
        <w:bidi w:val="0"/>
        <w:ind w:firstLine="0" w:firstLineChars="0"/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63515" cy="2636520"/>
            <wp:effectExtent l="0" t="0" r="6985" b="5080"/>
            <wp:docPr id="2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FC081">
      <w:pPr>
        <w:bidi w:val="0"/>
        <w:ind w:firstLine="0" w:firstLineChars="0"/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63515" cy="2645410"/>
            <wp:effectExtent l="0" t="0" r="6985" b="8890"/>
            <wp:docPr id="3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9D8ED">
      <w:pPr>
        <w:bidi w:val="0"/>
      </w:pPr>
    </w:p>
    <w:p w14:paraId="43D3349E">
      <w:pPr>
        <w:pStyle w:val="3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同意后，“3.支付信息”出现待付金额。</w:t>
      </w:r>
    </w:p>
    <w:p w14:paraId="392E3D5B">
      <w:pPr>
        <w:pStyle w:val="3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3515" cy="2645410"/>
            <wp:effectExtent l="0" t="0" r="6985" b="8890"/>
            <wp:docPr id="3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0713C">
      <w:pPr>
        <w:keepNext w:val="0"/>
        <w:keepLines w:val="0"/>
        <w:widowControl w:val="0"/>
        <w:numPr>
          <w:ilvl w:val="1"/>
          <w:numId w:val="1"/>
        </w:numPr>
        <w:bidi w:val="0"/>
        <w:spacing w:before="120" w:after="120" w:line="360" w:lineRule="auto"/>
        <w:ind w:left="0" w:leftChars="0" w:firstLine="0" w:firstLineChars="0"/>
        <w:jc w:val="both"/>
        <w:outlineLvl w:val="1"/>
        <w:rPr>
          <w:rFonts w:hint="default" w:ascii="Times New Roman" w:hAnsi="Times New Roman" w:eastAsia="思源宋体 CN Light" w:cstheme="minorBidi"/>
          <w:b/>
          <w:bCs/>
          <w:kern w:val="2"/>
          <w:sz w:val="30"/>
          <w:szCs w:val="32"/>
          <w:lang w:val="en-US" w:eastAsia="zh-CN" w:bidi="ar-SA"/>
        </w:rPr>
      </w:pPr>
      <w:bookmarkStart w:id="35" w:name="_Toc29220"/>
      <w:bookmarkStart w:id="36" w:name="_Toc18989"/>
      <w:bookmarkStart w:id="37" w:name="_Toc22226"/>
      <w:bookmarkStart w:id="38" w:name="_Toc17230"/>
      <w:bookmarkStart w:id="39" w:name="_Toc10903"/>
      <w:r>
        <w:rPr>
          <w:rFonts w:hint="eastAsia" w:cstheme="minorBidi"/>
          <w:b/>
          <w:bCs/>
          <w:kern w:val="2"/>
          <w:sz w:val="30"/>
          <w:szCs w:val="32"/>
          <w:lang w:val="en-US" w:eastAsia="zh-CN" w:bidi="ar-SA"/>
        </w:rPr>
        <w:t>保费支付</w:t>
      </w:r>
      <w:bookmarkEnd w:id="35"/>
      <w:bookmarkEnd w:id="36"/>
      <w:bookmarkEnd w:id="37"/>
      <w:bookmarkEnd w:id="38"/>
      <w:bookmarkEnd w:id="39"/>
    </w:p>
    <w:p w14:paraId="496E5CFD">
      <w:pPr>
        <w:bidi w:val="0"/>
        <w:rPr>
          <w:rFonts w:hint="eastAsia" w:ascii="Times New Roman" w:hAnsi="Times New Roman" w:eastAsia="思源宋体 CN Light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>此时</w:t>
      </w: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进入保费支付环节，</w:t>
      </w:r>
      <w:r>
        <w:rPr>
          <w:rFonts w:hint="eastAsia" w:ascii="Times New Roman" w:hAnsi="Times New Roman" w:eastAsia="思源宋体 CN Light" w:cs="Times New Roman"/>
          <w:color w:val="auto"/>
          <w:kern w:val="2"/>
          <w:sz w:val="21"/>
          <w:szCs w:val="24"/>
          <w:lang w:val="en-US" w:eastAsia="zh-CN" w:bidi="ar-SA"/>
        </w:rPr>
        <w:t>点击</w:t>
      </w: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“3.支付信息”栏中</w:t>
      </w:r>
      <w:r>
        <w:rPr>
          <w:rFonts w:hint="eastAsia" w:ascii="Times New Roman" w:hAnsi="Times New Roman" w:eastAsia="思源宋体 CN Light" w:cs="Times New Roman"/>
          <w:color w:val="auto"/>
          <w:kern w:val="2"/>
          <w:sz w:val="21"/>
          <w:szCs w:val="24"/>
          <w:lang w:val="en-US" w:eastAsia="zh-CN" w:bidi="ar-SA"/>
        </w:rPr>
        <w:t>“去支付”</w:t>
      </w: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按钮</w:t>
      </w:r>
      <w:r>
        <w:rPr>
          <w:rFonts w:hint="eastAsia" w:ascii="Times New Roman" w:hAnsi="Times New Roman" w:eastAsia="思源宋体 CN Light" w:cs="Times New Roman"/>
          <w:color w:val="auto"/>
          <w:kern w:val="2"/>
          <w:sz w:val="21"/>
          <w:szCs w:val="24"/>
          <w:lang w:val="en-US" w:eastAsia="zh-CN" w:bidi="ar-SA"/>
        </w:rPr>
        <w:t>后跳转至支付页面，该页面包含“线下支付”及“支付宝支付”两种支付方式，线下支付需填写“付款银行名称”及“付款银行账户”，同时需上传“支付凭证”。。</w:t>
      </w:r>
    </w:p>
    <w:p w14:paraId="2087FC12">
      <w:pPr>
        <w:bidi w:val="0"/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862580"/>
            <wp:effectExtent l="0" t="0" r="381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8F4F8">
      <w:pPr>
        <w:bidi w:val="0"/>
        <w:ind w:firstLine="420" w:firstLineChars="200"/>
        <w:rPr>
          <w:rFonts w:hint="eastAsia"/>
          <w:lang w:val="en-US" w:eastAsia="zh-CN"/>
        </w:rPr>
      </w:pPr>
    </w:p>
    <w:p w14:paraId="6D5ECC04">
      <w:pPr>
        <w:bidi w:val="0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选择“支付宝支付”可使用支付宝扫码进行支付。</w:t>
      </w:r>
    </w:p>
    <w:p w14:paraId="1DCCDBBA">
      <w:pPr>
        <w:bidi w:val="0"/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862580"/>
            <wp:effectExtent l="0" t="0" r="381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64D01">
      <w:pPr>
        <w:pStyle w:val="32"/>
        <w:rPr>
          <w:rFonts w:hint="eastAsia"/>
          <w:lang w:val="en-US" w:eastAsia="zh-CN"/>
        </w:rPr>
      </w:pPr>
    </w:p>
    <w:p w14:paraId="23608BA6">
      <w:pPr>
        <w:pStyle w:val="3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本操作手册中使用线下支付方式，并填写“付款银行名称”及“付款银行账号”信息，并上传支付凭证，提交后提示支付成功。</w:t>
      </w:r>
    </w:p>
    <w:p w14:paraId="0F0B76C4">
      <w:pPr>
        <w:pStyle w:val="32"/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2645410"/>
            <wp:effectExtent l="0" t="0" r="3810" b="8890"/>
            <wp:docPr id="5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2F040">
      <w:pPr>
        <w:pStyle w:val="32"/>
        <w:ind w:firstLine="0" w:firstLineChars="0"/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648585"/>
            <wp:effectExtent l="0" t="0" r="3810" b="5715"/>
            <wp:docPr id="3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E06F0">
      <w:pPr>
        <w:pStyle w:val="32"/>
        <w:ind w:firstLine="420"/>
        <w:rPr>
          <w:rFonts w:hint="eastAsia"/>
          <w:lang w:val="en-US" w:eastAsia="zh-CN"/>
        </w:rPr>
      </w:pPr>
    </w:p>
    <w:p w14:paraId="4FE8B284">
      <w:pPr>
        <w:pStyle w:val="32"/>
        <w:ind w:firstLine="420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 w:val="0"/>
          <w:bCs w:val="0"/>
          <w:color w:val="000000"/>
          <w:lang w:val="en-US" w:eastAsia="zh-CN"/>
        </w:rPr>
        <w:t>回至保函办理页面，系统提示“保函费用是否已支付”，点击“确认”按钮进行确认</w:t>
      </w:r>
      <w:r>
        <w:rPr>
          <w:rFonts w:hint="eastAsia"/>
          <w:b/>
          <w:bCs/>
          <w:color w:val="FF0000"/>
          <w:lang w:val="en-US" w:eastAsia="zh-CN"/>
        </w:rPr>
        <w:t>。</w:t>
      </w:r>
    </w:p>
    <w:p w14:paraId="118E207E">
      <w:pPr>
        <w:pStyle w:val="32"/>
        <w:ind w:firstLine="0" w:firstLineChars="0"/>
        <w:rPr>
          <w:rFonts w:hint="default"/>
          <w:b/>
          <w:bCs/>
          <w:color w:val="FF0000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drawing>
          <wp:inline distT="0" distB="0" distL="114300" distR="114300">
            <wp:extent cx="5258435" cy="2636520"/>
            <wp:effectExtent l="0" t="0" r="12065" b="5080"/>
            <wp:docPr id="3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78370">
      <w:pPr>
        <w:pStyle w:val="32"/>
      </w:pPr>
    </w:p>
    <w:p w14:paraId="6184C781">
      <w:pPr>
        <w:pStyle w:val="3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此时该保函进入审核阶段，待金融机构完成审核后发函（线下支付方式进行支付需人工审核完成后发函，支付宝支付方式自动出函）。</w:t>
      </w:r>
    </w:p>
    <w:p w14:paraId="799B5470">
      <w:pPr>
        <w:pStyle w:val="32"/>
        <w:ind w:firstLine="0" w:firstLineChars="0"/>
      </w:pPr>
      <w:r>
        <w:drawing>
          <wp:inline distT="0" distB="0" distL="114300" distR="114300">
            <wp:extent cx="5258435" cy="2640965"/>
            <wp:effectExtent l="0" t="0" r="12065" b="635"/>
            <wp:docPr id="3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E1E7C">
      <w:pPr>
        <w:pStyle w:val="32"/>
        <w:ind w:firstLine="0" w:firstLineChars="0"/>
        <w:rPr>
          <w:rFonts w:hint="eastAsia"/>
          <w:lang w:val="en-US" w:eastAsia="zh-CN"/>
        </w:rPr>
      </w:pPr>
    </w:p>
    <w:p w14:paraId="61FE1802">
      <w:pPr>
        <w:pStyle w:val="32"/>
        <w:numPr>
          <w:ilvl w:val="0"/>
          <w:numId w:val="0"/>
        </w:numPr>
        <w:rPr>
          <w:rFonts w:hint="eastAsia"/>
          <w:lang w:val="en-US" w:eastAsia="zh-CN"/>
        </w:rPr>
      </w:pPr>
    </w:p>
    <w:p w14:paraId="7C41CEB6">
      <w:pPr>
        <w:pStyle w:val="3"/>
        <w:tabs>
          <w:tab w:val="left" w:pos="0"/>
        </w:tabs>
        <w:bidi w:val="0"/>
        <w:rPr>
          <w:rFonts w:hint="eastAsia"/>
          <w:lang w:val="en-US" w:eastAsia="zh-CN"/>
        </w:rPr>
      </w:pPr>
      <w:bookmarkStart w:id="40" w:name="_Toc7573"/>
      <w:bookmarkStart w:id="41" w:name="_Toc10086"/>
      <w:bookmarkStart w:id="42" w:name="_Toc8042"/>
      <w:bookmarkStart w:id="43" w:name="_Toc17834"/>
      <w:bookmarkStart w:id="44" w:name="_Toc5605"/>
      <w:r>
        <w:rPr>
          <w:rFonts w:hint="eastAsia"/>
          <w:lang w:val="en-US" w:eastAsia="zh-CN"/>
        </w:rPr>
        <w:t>保函发放</w:t>
      </w:r>
      <w:bookmarkEnd w:id="40"/>
      <w:bookmarkEnd w:id="41"/>
      <w:bookmarkEnd w:id="42"/>
      <w:bookmarkEnd w:id="43"/>
      <w:bookmarkEnd w:id="44"/>
    </w:p>
    <w:p w14:paraId="6181E6AD">
      <w:pPr>
        <w:pStyle w:val="32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保函审核通过发函后，可查看保函编号，并可下载密文保函文件。</w:t>
      </w:r>
    </w:p>
    <w:p w14:paraId="5D82D270">
      <w:pPr>
        <w:pStyle w:val="32"/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862580"/>
            <wp:effectExtent l="0" t="0" r="3810" b="7620"/>
            <wp:docPr id="4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5D61D">
      <w:pPr>
        <w:pStyle w:val="32"/>
        <w:ind w:firstLine="0" w:firstLineChars="0"/>
        <w:rPr>
          <w:rFonts w:hint="eastAsia"/>
          <w:lang w:val="en-US" w:eastAsia="zh-CN"/>
        </w:rPr>
      </w:pPr>
    </w:p>
    <w:p w14:paraId="3C011A85">
      <w:pPr>
        <w:pStyle w:val="32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回至金融服务平台刷新页面，可查看该标段保函已出函，并支持密文下载，发票申请（需开标后申请）及申请退保操作。</w:t>
      </w:r>
    </w:p>
    <w:p w14:paraId="3415275B">
      <w:pPr>
        <w:pStyle w:val="32"/>
        <w:ind w:firstLine="0" w:firstLineChars="0"/>
      </w:pPr>
      <w:r>
        <w:drawing>
          <wp:inline distT="0" distB="0" distL="114300" distR="114300">
            <wp:extent cx="5266690" cy="2649855"/>
            <wp:effectExtent l="0" t="0" r="3810" b="4445"/>
            <wp:docPr id="4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BC254">
      <w:pPr>
        <w:pStyle w:val="32"/>
        <w:ind w:left="0" w:leftChars="0" w:firstLine="0" w:firstLineChars="0"/>
        <w:rPr>
          <w:rFonts w:hint="eastAsia" w:ascii="Times New Roman" w:hAnsi="Times New Roman" w:cs="Times New Roman"/>
          <w:color w:val="auto"/>
          <w:kern w:val="2"/>
          <w:sz w:val="21"/>
          <w:szCs w:val="24"/>
          <w:lang w:val="en-US" w:eastAsia="zh-CN" w:bidi="ar-SA"/>
        </w:rPr>
      </w:pPr>
    </w:p>
    <w:p w14:paraId="1FA352BF">
      <w:pPr>
        <w:pStyle w:val="32"/>
        <w:ind w:left="420" w:leftChars="20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点击页面下方“完成并跳转个人中心”按钮，跳转至保函申请列表里查看相关信息。</w:t>
      </w:r>
    </w:p>
    <w:p w14:paraId="3D1B8880">
      <w:pPr>
        <w:pStyle w:val="32"/>
        <w:ind w:left="0" w:leftChars="0" w:firstLine="0" w:firstLineChars="0"/>
      </w:pPr>
      <w:r>
        <w:drawing>
          <wp:inline distT="0" distB="0" distL="114300" distR="114300">
            <wp:extent cx="5113020" cy="2550160"/>
            <wp:effectExtent l="0" t="0" r="11430" b="2540"/>
            <wp:docPr id="9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07705">
      <w:pPr>
        <w:pStyle w:val="32"/>
        <w:ind w:left="0" w:leftChars="0" w:firstLine="0" w:firstLineChars="0"/>
      </w:pPr>
    </w:p>
    <w:p w14:paraId="4FE075AC">
      <w:pPr>
        <w:pStyle w:val="32"/>
        <w:ind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2395"/>
            <wp:effectExtent l="0" t="0" r="3810" b="1905"/>
            <wp:docPr id="4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75AFA">
      <w:pPr>
        <w:pStyle w:val="34"/>
        <w:bidi w:val="0"/>
        <w:jc w:val="left"/>
        <w:rPr>
          <w:rFonts w:hint="eastAsia"/>
          <w:lang w:val="en-US" w:eastAsia="zh-CN"/>
        </w:rPr>
      </w:pPr>
    </w:p>
    <w:p w14:paraId="0CE7C6D5">
      <w:pPr>
        <w:pStyle w:val="34"/>
        <w:bidi w:val="0"/>
        <w:ind w:firstLine="420" w:firstLineChars="2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开标时间前，保函发放页面会显示出函时间及保函密文信息。</w:t>
      </w:r>
    </w:p>
    <w:p w14:paraId="14394E8C">
      <w:pPr>
        <w:pStyle w:val="34"/>
        <w:bidi w:val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153660" cy="2576830"/>
            <wp:effectExtent l="0" t="0" r="8890" b="13970"/>
            <wp:docPr id="9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AE3DC">
      <w:pPr>
        <w:pStyle w:val="34"/>
        <w:bidi w:val="0"/>
        <w:ind w:firstLine="420" w:firstLineChars="200"/>
        <w:jc w:val="left"/>
        <w:rPr>
          <w:rFonts w:hint="default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开标前投标人若需要提交保证金缴纳凭证，可下载电子投标保函密文，附属在投标文件中作为缴纳凭证。</w:t>
      </w:r>
    </w:p>
    <w:p w14:paraId="7CCBD0C4">
      <w:pPr>
        <w:pStyle w:val="34"/>
        <w:bidi w:val="0"/>
        <w:ind w:firstLine="420" w:firstLineChars="200"/>
        <w:jc w:val="left"/>
        <w:rPr>
          <w:rFonts w:hint="eastAsia" w:cs="Times New Roman"/>
          <w:color w:val="auto"/>
          <w:kern w:val="2"/>
          <w:sz w:val="18"/>
          <w:szCs w:val="18"/>
          <w:lang w:val="en-US" w:eastAsia="zh-CN" w:bidi="ar-SA"/>
        </w:rPr>
      </w:pP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开标时间后，会出现明文保函，</w:t>
      </w:r>
      <w:r>
        <w:rPr>
          <w:rFonts w:hint="eastAsia" w:ascii="Times New Roman" w:hAnsi="Times New Roman" w:eastAsia="思源宋体 CN Light" w:cs="Times New Roman"/>
          <w:color w:val="auto"/>
          <w:kern w:val="2"/>
          <w:sz w:val="21"/>
          <w:szCs w:val="24"/>
          <w:lang w:val="en-US" w:eastAsia="zh-CN" w:bidi="ar-SA"/>
        </w:rPr>
        <w:t>点击“下载”按钮，可以下载对应</w:t>
      </w: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的保函</w:t>
      </w:r>
      <w:r>
        <w:rPr>
          <w:rFonts w:hint="eastAsia" w:ascii="Times New Roman" w:hAnsi="Times New Roman" w:eastAsia="思源宋体 CN Light" w:cs="Times New Roman"/>
          <w:color w:val="auto"/>
          <w:kern w:val="2"/>
          <w:sz w:val="21"/>
          <w:szCs w:val="24"/>
          <w:lang w:val="en-US" w:eastAsia="zh-CN" w:bidi="ar-SA"/>
        </w:rPr>
        <w:t>文件</w:t>
      </w:r>
      <w:r>
        <w:rPr>
          <w:rFonts w:hint="eastAsia" w:cs="Times New Roman"/>
          <w:color w:val="auto"/>
          <w:kern w:val="2"/>
          <w:sz w:val="21"/>
          <w:szCs w:val="24"/>
          <w:lang w:val="en-US" w:eastAsia="zh-CN" w:bidi="ar-SA"/>
        </w:rPr>
        <w:t>。</w:t>
      </w:r>
    </w:p>
    <w:p w14:paraId="688232BC">
      <w:pPr>
        <w:pStyle w:val="32"/>
        <w:ind w:left="0" w:leftChars="0" w:firstLine="0" w:firstLineChars="0"/>
        <w:rPr>
          <w:rFonts w:hint="eastAsia" w:eastAsia="思源宋体 CN Light"/>
          <w:lang w:eastAsia="zh-CN"/>
        </w:rPr>
      </w:pPr>
      <w:r>
        <w:drawing>
          <wp:inline distT="0" distB="0" distL="114300" distR="114300">
            <wp:extent cx="5178425" cy="2437765"/>
            <wp:effectExtent l="0" t="0" r="3175" b="635"/>
            <wp:docPr id="9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17842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55B50">
      <w:pPr>
        <w:pStyle w:val="32"/>
        <w:ind w:left="420" w:leftChars="20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成功出函后，投</w:t>
      </w:r>
      <w:bookmarkStart w:id="58" w:name="_GoBack"/>
      <w:bookmarkEnd w:id="58"/>
      <w:r>
        <w:rPr>
          <w:rFonts w:hint="eastAsia"/>
          <w:lang w:val="en-US" w:eastAsia="zh-CN"/>
        </w:rPr>
        <w:t>标人可返回至招投标平台继续项目的投标相关操作。</w:t>
      </w:r>
    </w:p>
    <w:p w14:paraId="17E84243">
      <w:pPr>
        <w:pStyle w:val="3"/>
        <w:tabs>
          <w:tab w:val="left" w:pos="2501"/>
        </w:tabs>
        <w:rPr>
          <w:rFonts w:hint="eastAsia"/>
          <w:lang w:val="en-US" w:eastAsia="zh-CN"/>
        </w:rPr>
      </w:pPr>
      <w:bookmarkStart w:id="45" w:name="_Toc26814"/>
      <w:bookmarkStart w:id="46" w:name="_Toc7919"/>
      <w:bookmarkStart w:id="47" w:name="_Toc18851"/>
      <w:r>
        <w:rPr>
          <w:rFonts w:hint="eastAsia"/>
          <w:lang w:val="en-US" w:eastAsia="zh-CN"/>
        </w:rPr>
        <w:t>业务系统保函申请状态查询</w:t>
      </w:r>
      <w:bookmarkEnd w:id="45"/>
      <w:bookmarkEnd w:id="46"/>
      <w:bookmarkEnd w:id="47"/>
    </w:p>
    <w:p w14:paraId="540473D4">
      <w:pPr>
        <w:pStyle w:val="32"/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按照上述流程在金融服务平台完成保函申请后，可返回招投标平台，点击申请保函的已报名项目，重新进入项目流程，点击“保证金/保函缴纳”按钮，进入详情页：</w:t>
      </w:r>
    </w:p>
    <w:p w14:paraId="310B560A">
      <w:pPr>
        <w:pStyle w:val="32"/>
        <w:ind w:left="0" w:leftChars="0" w:firstLine="0" w:firstLineChars="0"/>
        <w:jc w:val="center"/>
      </w:pPr>
      <w:r>
        <w:drawing>
          <wp:inline distT="0" distB="0" distL="114300" distR="114300">
            <wp:extent cx="4693285" cy="2242185"/>
            <wp:effectExtent l="0" t="0" r="2540" b="571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9328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93BA7">
      <w:pPr>
        <w:pStyle w:val="32"/>
        <w:ind w:left="0" w:leftChars="0" w:firstLine="420" w:firstLineChars="200"/>
        <w:jc w:val="both"/>
        <w:rPr>
          <w:rFonts w:hint="eastAsia"/>
          <w:lang w:val="en-US" w:eastAsia="zh-CN"/>
        </w:rPr>
      </w:pPr>
    </w:p>
    <w:p w14:paraId="756652DA">
      <w:pPr>
        <w:pStyle w:val="32"/>
        <w:ind w:left="0" w:leftChars="0" w:firstLine="42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然后在详情页“</w:t>
      </w:r>
      <w:r>
        <w:rPr>
          <w:rFonts w:hint="default"/>
          <w:lang w:val="en-US" w:eastAsia="zh-CN"/>
        </w:rPr>
        <w:t>02方式一:线上电子保</w:t>
      </w:r>
      <w:r>
        <w:rPr>
          <w:rFonts w:hint="eastAsia"/>
          <w:lang w:val="en-US" w:eastAsia="zh-CN"/>
        </w:rPr>
        <w:t>函”中，点击“</w:t>
      </w:r>
      <w:r>
        <w:rPr>
          <w:rFonts w:hint="default"/>
          <w:lang w:val="en-US" w:eastAsia="zh-CN"/>
        </w:rPr>
        <w:t>办理结果查询</w:t>
      </w:r>
      <w:r>
        <w:rPr>
          <w:rFonts w:hint="eastAsia"/>
          <w:lang w:val="en-US" w:eastAsia="zh-CN"/>
        </w:rPr>
        <w:t>”按钮，当显示绿色出函信息时，保函即办理成功，此时右上角缴纳状态应为“缴纳成功”。</w:t>
      </w:r>
    </w:p>
    <w:p w14:paraId="3FCF3E16">
      <w:pPr>
        <w:pStyle w:val="32"/>
        <w:ind w:left="0" w:leftChars="0" w:firstLine="420" w:firstLineChars="20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4699635" cy="2363470"/>
            <wp:effectExtent l="0" t="0" r="5715" b="1778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9963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35341">
      <w:pPr>
        <w:pStyle w:val="3"/>
        <w:tabs>
          <w:tab w:val="left" w:pos="2501"/>
        </w:tabs>
        <w:bidi w:val="0"/>
        <w:rPr>
          <w:rFonts w:hint="eastAsia"/>
          <w:lang w:val="en-US" w:eastAsia="zh-CN"/>
        </w:rPr>
      </w:pPr>
      <w:bookmarkStart w:id="48" w:name="_Toc32032"/>
      <w:bookmarkStart w:id="49" w:name="_Toc7564"/>
      <w:bookmarkStart w:id="50" w:name="_Toc22579"/>
      <w:bookmarkStart w:id="51" w:name="_Toc6145"/>
      <w:bookmarkStart w:id="52" w:name="_Toc802"/>
      <w:r>
        <w:rPr>
          <w:rFonts w:hint="eastAsia"/>
          <w:lang w:val="en-US" w:eastAsia="zh-CN"/>
        </w:rPr>
        <w:t>退保申请（线下退保）</w:t>
      </w:r>
      <w:bookmarkEnd w:id="48"/>
      <w:bookmarkEnd w:id="49"/>
      <w:bookmarkEnd w:id="50"/>
      <w:bookmarkEnd w:id="51"/>
      <w:bookmarkEnd w:id="52"/>
    </w:p>
    <w:p w14:paraId="6287CF61">
      <w:pPr>
        <w:pStyle w:val="3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本产品采取线下退保，用户可以线上提交申请，线下联系金融机构退款。</w:t>
      </w:r>
    </w:p>
    <w:p w14:paraId="6348D292">
      <w:pPr>
        <w:pStyle w:val="32"/>
        <w:ind w:left="0" w:leftChars="0" w:firstLine="420" w:firstLineChars="200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退保条件：</w:t>
      </w:r>
    </w:p>
    <w:p w14:paraId="7D5DCB85">
      <w:pPr>
        <w:pStyle w:val="32"/>
        <w:numPr>
          <w:ilvl w:val="0"/>
          <w:numId w:val="0"/>
        </w:numPr>
        <w:ind w:left="0" w:leftChars="0" w:firstLine="420" w:firstLineChars="200"/>
        <w:rPr>
          <w:rFonts w:hint="eastAsia" w:ascii="Calibri" w:hAnsi="Calibri" w:eastAsia="思源宋体 CN Light" w:cs="宋体"/>
          <w:color w:val="000000"/>
          <w:kern w:val="2"/>
          <w:sz w:val="21"/>
          <w:szCs w:val="20"/>
          <w:highlight w:val="none"/>
          <w:lang w:val="en-US" w:eastAsia="zh-CN" w:bidi="ar-SA"/>
        </w:rPr>
      </w:pPr>
      <w:r>
        <w:rPr>
          <w:rFonts w:hint="eastAsia" w:ascii="Calibri" w:hAnsi="Calibri" w:eastAsia="思源宋体 CN Light" w:cs="宋体"/>
          <w:color w:val="000000"/>
          <w:kern w:val="2"/>
          <w:sz w:val="21"/>
          <w:szCs w:val="20"/>
          <w:highlight w:val="none"/>
          <w:lang w:val="en-US" w:eastAsia="zh-CN" w:bidi="ar-SA"/>
        </w:rPr>
        <w:t>（1）开标前可以申请退保</w:t>
      </w:r>
    </w:p>
    <w:p w14:paraId="3BB806C7">
      <w:pPr>
        <w:pStyle w:val="32"/>
        <w:numPr>
          <w:ilvl w:val="0"/>
          <w:numId w:val="0"/>
        </w:numPr>
        <w:ind w:left="0" w:leftChars="0" w:firstLine="420" w:firstLineChars="200"/>
        <w:rPr>
          <w:rFonts w:hint="eastAsia" w:ascii="Calibri" w:hAnsi="Calibri" w:eastAsia="思源宋体 CN Light" w:cs="宋体"/>
          <w:color w:val="000000"/>
          <w:kern w:val="2"/>
          <w:sz w:val="21"/>
          <w:szCs w:val="20"/>
          <w:highlight w:val="none"/>
          <w:lang w:val="en-US" w:eastAsia="zh-CN" w:bidi="ar-SA"/>
        </w:rPr>
      </w:pPr>
      <w:r>
        <w:rPr>
          <w:rFonts w:hint="eastAsia" w:ascii="Calibri" w:hAnsi="Calibri" w:eastAsia="思源宋体 CN Light" w:cs="宋体"/>
          <w:color w:val="000000"/>
          <w:kern w:val="2"/>
          <w:sz w:val="21"/>
          <w:szCs w:val="20"/>
          <w:highlight w:val="none"/>
          <w:lang w:val="en-US" w:eastAsia="zh-CN" w:bidi="ar-SA"/>
        </w:rPr>
        <w:t>（2）其他特殊情况</w:t>
      </w:r>
      <w:r>
        <w:rPr>
          <w:rFonts w:hint="eastAsia" w:cs="宋体"/>
          <w:color w:val="000000"/>
          <w:kern w:val="2"/>
          <w:sz w:val="21"/>
          <w:szCs w:val="20"/>
          <w:highlight w:val="none"/>
          <w:lang w:val="en-US" w:eastAsia="zh-CN" w:bidi="ar-SA"/>
        </w:rPr>
        <w:t>联系金融机构进行</w:t>
      </w:r>
      <w:r>
        <w:rPr>
          <w:rFonts w:hint="eastAsia" w:ascii="Calibri" w:hAnsi="Calibri" w:eastAsia="思源宋体 CN Light" w:cs="宋体"/>
          <w:color w:val="000000"/>
          <w:kern w:val="2"/>
          <w:sz w:val="21"/>
          <w:szCs w:val="20"/>
          <w:highlight w:val="none"/>
          <w:lang w:val="en-US" w:eastAsia="zh-CN" w:bidi="ar-SA"/>
        </w:rPr>
        <w:t>沟通处理。</w:t>
      </w:r>
    </w:p>
    <w:p w14:paraId="5717DB94">
      <w:pPr>
        <w:pStyle w:val="32"/>
        <w:bidi w:val="0"/>
        <w:ind w:firstLine="0" w:firstLineChars="0"/>
      </w:pPr>
      <w:r>
        <w:drawing>
          <wp:inline distT="0" distB="0" distL="114300" distR="114300">
            <wp:extent cx="5146675" cy="2570480"/>
            <wp:effectExtent l="0" t="0" r="15875" b="1270"/>
            <wp:docPr id="10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4667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21977">
      <w:pPr>
        <w:pStyle w:val="32"/>
        <w:bidi w:val="0"/>
        <w:ind w:firstLine="420"/>
        <w:rPr>
          <w:rFonts w:hint="eastAsia"/>
          <w:lang w:val="en-US" w:eastAsia="zh-CN"/>
        </w:rPr>
      </w:pPr>
    </w:p>
    <w:p w14:paraId="75D6E64B">
      <w:pPr>
        <w:pStyle w:val="32"/>
        <w:bidi w:val="0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在弹出的退保申请界面，填写退保原因等信息，等待金融机构审核：</w:t>
      </w:r>
    </w:p>
    <w:p w14:paraId="51AE7D98">
      <w:pPr>
        <w:pStyle w:val="32"/>
        <w:bidi w:val="0"/>
        <w:ind w:firstLine="0" w:firstLineChars="0"/>
      </w:pPr>
      <w:r>
        <w:drawing>
          <wp:inline distT="0" distB="0" distL="114300" distR="114300">
            <wp:extent cx="4650105" cy="2329815"/>
            <wp:effectExtent l="0" t="0" r="17145" b="13335"/>
            <wp:docPr id="10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5010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67B48">
      <w:pPr>
        <w:pStyle w:val="32"/>
        <w:bidi w:val="0"/>
      </w:pPr>
    </w:p>
    <w:p w14:paraId="3E490B46">
      <w:pPr>
        <w:pStyle w:val="32"/>
        <w:bidi w:val="0"/>
        <w:ind w:left="420" w:leftChars="200" w:firstLine="0" w:firstLineChars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如不符合退保条件（如已经正常开标），则会提示：开标后不允许退保！</w:t>
      </w:r>
    </w:p>
    <w:p w14:paraId="71F8EA75">
      <w:pPr>
        <w:pStyle w:val="32"/>
        <w:bidi w:val="0"/>
        <w:ind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060315" cy="2393315"/>
            <wp:effectExtent l="0" t="0" r="6985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60315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DF268">
      <w:pPr>
        <w:pStyle w:val="32"/>
        <w:bidi w:val="0"/>
        <w:rPr>
          <w:rFonts w:hint="eastAsia"/>
          <w:lang w:val="en-US" w:eastAsia="zh-CN"/>
        </w:rPr>
      </w:pPr>
    </w:p>
    <w:p w14:paraId="65E23C96">
      <w:pPr>
        <w:pStyle w:val="3"/>
        <w:bidi w:val="0"/>
        <w:rPr>
          <w:rFonts w:hint="eastAsia" w:eastAsia="思源宋体 CN Light"/>
          <w:lang w:eastAsia="zh-CN"/>
        </w:rPr>
      </w:pPr>
      <w:bookmarkStart w:id="53" w:name="_Toc26445"/>
      <w:bookmarkStart w:id="54" w:name="_Toc30999"/>
      <w:bookmarkStart w:id="55" w:name="_Toc19564"/>
      <w:bookmarkStart w:id="56" w:name="_Toc20035"/>
      <w:bookmarkStart w:id="57" w:name="_Toc27737"/>
      <w:r>
        <w:rPr>
          <w:rFonts w:hint="eastAsia"/>
          <w:lang w:val="en-US" w:eastAsia="zh-CN"/>
        </w:rPr>
        <w:t>发票申请</w:t>
      </w:r>
      <w:bookmarkEnd w:id="53"/>
      <w:bookmarkEnd w:id="54"/>
      <w:bookmarkEnd w:id="55"/>
      <w:bookmarkEnd w:id="56"/>
      <w:bookmarkEnd w:id="57"/>
    </w:p>
    <w:p w14:paraId="0A1D4563">
      <w:pPr>
        <w:pStyle w:val="32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在出函成功页面申请发票。点击“申请发票”按钮，填写开票信息和联系人信息，填写完毕后提交申请，等待发票开具。</w:t>
      </w:r>
    </w:p>
    <w:p w14:paraId="703B275D">
      <w:pPr>
        <w:pStyle w:val="32"/>
        <w:ind w:firstLine="0" w:firstLineChars="0"/>
        <w:rPr>
          <w:rFonts w:hint="default"/>
          <w:highlight w:val="yellow"/>
          <w:lang w:val="en-US" w:eastAsia="zh-CN"/>
        </w:rPr>
      </w:pPr>
      <w:r>
        <w:drawing>
          <wp:inline distT="0" distB="0" distL="114300" distR="114300">
            <wp:extent cx="5266690" cy="2648585"/>
            <wp:effectExtent l="0" t="0" r="3810" b="571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0F7A2">
      <w:pPr>
        <w:pStyle w:val="32"/>
        <w:ind w:left="0" w:leftChars="0" w:firstLine="0" w:firstLineChars="0"/>
      </w:pPr>
    </w:p>
    <w:p w14:paraId="2FE2F770">
      <w:pPr>
        <w:pStyle w:val="32"/>
        <w:ind w:left="0" w:leftChars="0" w:firstLine="0" w:firstLineChars="0"/>
      </w:pPr>
      <w:r>
        <w:drawing>
          <wp:inline distT="0" distB="0" distL="114300" distR="114300">
            <wp:extent cx="5266690" cy="2649855"/>
            <wp:effectExtent l="0" t="0" r="3810" b="4445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02E0B">
      <w:pPr>
        <w:pStyle w:val="32"/>
        <w:ind w:left="0" w:leftChars="0" w:firstLine="420" w:firstLineChars="200"/>
        <w:rPr>
          <w:rFonts w:hint="eastAsia"/>
          <w:lang w:val="en-US" w:eastAsia="zh-CN"/>
        </w:rPr>
      </w:pPr>
    </w:p>
    <w:p w14:paraId="560E6427">
      <w:pPr>
        <w:pStyle w:val="32"/>
        <w:ind w:left="0" w:leftChars="0" w:firstLine="420" w:firstLineChars="200"/>
      </w:pPr>
      <w:r>
        <w:rPr>
          <w:rFonts w:hint="eastAsia"/>
          <w:lang w:val="en-US" w:eastAsia="zh-CN"/>
        </w:rPr>
        <w:t>信息填写完毕，提交申请</w:t>
      </w:r>
    </w:p>
    <w:p w14:paraId="5CC22EC3">
      <w:pPr>
        <w:pStyle w:val="32"/>
        <w:ind w:left="0" w:leftChars="0" w:firstLine="0" w:firstLineChars="0"/>
      </w:pPr>
      <w:r>
        <w:drawing>
          <wp:inline distT="0" distB="0" distL="114300" distR="114300">
            <wp:extent cx="5266690" cy="2592070"/>
            <wp:effectExtent l="0" t="0" r="3810" b="11430"/>
            <wp:docPr id="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49561">
      <w:pPr>
        <w:pStyle w:val="17"/>
        <w:widowControl/>
        <w:ind w:left="0" w:leftChars="0" w:firstLineChars="0"/>
        <w:rPr>
          <w:rFonts w:ascii="Segoe UI" w:hAnsi="Segoe UI" w:eastAsia="Segoe UI" w:cs="Segoe UI"/>
          <w:color w:val="000000" w:themeColor="text1"/>
          <w14:textFill>
            <w14:solidFill>
              <w14:schemeClr w14:val="tx1"/>
            </w14:solidFill>
          </w14:textFill>
        </w:rPr>
      </w:pPr>
    </w:p>
    <w:p w14:paraId="764A3881">
      <w:pPr>
        <w:pStyle w:val="17"/>
        <w:widowControl/>
        <w:ind w:left="0" w:leftChars="0" w:firstLineChars="0"/>
      </w:pPr>
      <w:r>
        <w:rPr>
          <w:rFonts w:ascii="Segoe UI" w:hAnsi="Segoe UI" w:eastAsia="Segoe UI" w:cs="Segoe UI"/>
          <w:color w:val="000000" w:themeColor="text1"/>
          <w14:textFill>
            <w14:solidFill>
              <w14:schemeClr w14:val="tx1"/>
            </w14:solidFill>
          </w14:textFill>
        </w:rPr>
        <w:t>如有需要请联系</w:t>
      </w:r>
      <w:r>
        <w:rPr>
          <w:rFonts w:hint="eastAsia" w:ascii="Segoe UI" w:hAnsi="Segoe UI" w:eastAsia="宋体" w:cs="Segoe UI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左上角担保公司客服电话</w:t>
      </w:r>
      <w:r>
        <w:rPr>
          <w:rFonts w:hint="eastAsia" w:ascii="Segoe UI" w:hAnsi="Segoe UI" w:eastAsia="宋体" w:cs="Segoe UI"/>
          <w:color w:val="FF0000"/>
          <w:lang w:eastAsia="zh-CN"/>
        </w:rPr>
        <w:t>。</w:t>
      </w:r>
    </w:p>
    <w:p w14:paraId="0BBEF94C">
      <w:pPr>
        <w:pStyle w:val="32"/>
        <w:ind w:left="0" w:leftChars="0" w:firstLine="0" w:firstLineChars="0"/>
      </w:pPr>
      <w:r>
        <w:drawing>
          <wp:inline distT="0" distB="0" distL="114300" distR="114300">
            <wp:extent cx="5252085" cy="2611755"/>
            <wp:effectExtent l="0" t="0" r="5715" b="444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FA5DA">
      <w:pPr>
        <w:pStyle w:val="32"/>
        <w:ind w:left="0" w:leftChars="0" w:firstLine="420" w:firstLineChars="200"/>
        <w:rPr>
          <w:rFonts w:hint="eastAsia"/>
          <w:lang w:val="en-US" w:eastAsia="zh-CN"/>
        </w:rPr>
      </w:pPr>
    </w:p>
    <w:p w14:paraId="6EB6E8D0">
      <w:pPr>
        <w:pStyle w:val="32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申请提交后，“申请发票”按钮会变为“查看发票”，稍过一段时间待金融机构开具发票后，点击“查看发票”按钮，在页面下方可以进行电子发票下载。</w:t>
      </w:r>
    </w:p>
    <w:p w14:paraId="214A9C19">
      <w:pPr>
        <w:pStyle w:val="32"/>
        <w:ind w:left="0" w:leftChars="0" w:firstLine="0" w:firstLineChars="0"/>
      </w:pPr>
      <w:r>
        <w:drawing>
          <wp:inline distT="0" distB="0" distL="114300" distR="114300">
            <wp:extent cx="5266690" cy="2632075"/>
            <wp:effectExtent l="0" t="0" r="3810" b="9525"/>
            <wp:docPr id="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7682D">
      <w:pPr>
        <w:pStyle w:val="32"/>
        <w:ind w:left="0" w:leftChars="0" w:firstLine="0" w:firstLineChars="0"/>
        <w:rPr>
          <w:rFonts w:hint="eastAsia" w:eastAsia="思源宋体 CN Light"/>
          <w:lang w:val="en-US" w:eastAsia="zh-CN"/>
        </w:rPr>
      </w:pPr>
      <w:r>
        <w:drawing>
          <wp:inline distT="0" distB="0" distL="114300" distR="114300">
            <wp:extent cx="5266690" cy="2595245"/>
            <wp:effectExtent l="0" t="0" r="3810" b="8255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624" w:footer="624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思源宋体 CN Light">
    <w:altName w:val="宋体"/>
    <w:panose1 w:val="02020300000000000000"/>
    <w:charset w:val="86"/>
    <w:family w:val="auto"/>
    <w:pitch w:val="default"/>
    <w:sig w:usb0="00000000" w:usb1="00000000" w:usb2="00000016" w:usb3="00000000" w:csb0="60060107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微软雅黑 Light">
    <w:panose1 w:val="020B0502040204020203"/>
    <w:charset w:val="86"/>
    <w:family w:val="auto"/>
    <w:pitch w:val="default"/>
    <w:sig w:usb0="80000287" w:usb1="2ACF0010" w:usb2="00000016" w:usb3="00000000" w:csb0="0004001F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思源黑体 CN Regular">
    <w:altName w:val="黑体"/>
    <w:panose1 w:val="020B0500000000000000"/>
    <w:charset w:val="86"/>
    <w:family w:val="auto"/>
    <w:pitch w:val="default"/>
    <w:sig w:usb0="00000000" w:usb1="00000000" w:usb2="00000016" w:usb3="00000000" w:csb0="60060107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AB2E6C">
    <w:pPr>
      <w:pStyle w:val="13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86F72D">
    <w:pPr>
      <w:pStyle w:val="13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D218419">
    <w:pPr>
      <w:pStyle w:val="13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CF4716">
    <w:pPr>
      <w:pStyle w:val="13"/>
      <w:pBdr>
        <w:top w:val="single" w:color="9BBB59" w:sz="24" w:space="5"/>
      </w:pBdr>
      <w:wordWrap/>
      <w:spacing w:line="240" w:lineRule="auto"/>
      <w:ind w:firstLine="0" w:firstLineChars="0"/>
      <w:jc w:val="center"/>
      <w:rPr>
        <w:rFonts w:hint="default" w:ascii="Times New Roman" w:hAnsi="Times New Roman"/>
        <w:sz w:val="18"/>
        <w:lang w:val="en-US" w:eastAsia="zh-CN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2F2625">
    <w:pPr>
      <w:pStyle w:val="14"/>
      <w:pBdr>
        <w:bottom w:val="none" w:color="auto" w:sz="0" w:space="1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FBFA93">
    <w:pPr>
      <w:pStyle w:val="14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DB9DCB">
    <w:pPr>
      <w:pStyle w:val="14"/>
      <w:ind w:firstLine="36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30F34F">
    <w:pPr>
      <w:pStyle w:val="14"/>
      <w:pBdr>
        <w:bottom w:val="thickThinSmallGap" w:color="622423" w:sz="24" w:space="1"/>
      </w:pBdr>
      <w:spacing w:line="240" w:lineRule="auto"/>
      <w:ind w:firstLine="0" w:firstLineChars="0"/>
      <w:jc w:val="left"/>
      <w:rPr>
        <w:rFonts w:hint="eastAsia" w:ascii="Times New Roman" w:hAnsi="Times New Roman"/>
        <w:sz w:val="18"/>
        <w:lang w:eastAsia="zh-CN"/>
      </w:rPr>
    </w:pPr>
    <w:r>
      <w:rPr>
        <w:rFonts w:hint="eastAsia"/>
        <w:sz w:val="18"/>
        <w:lang w:val="en-US" w:eastAsia="zh-CN"/>
      </w:rPr>
      <w:t>中原云商（招投标）金融服务平台</w:t>
    </w:r>
    <w:r>
      <w:rPr>
        <w:rFonts w:hint="eastAsia"/>
        <w:sz w:val="18"/>
        <w:lang w:eastAsia="zh-CN"/>
      </w:rPr>
      <w:t>操作手册</w:t>
    </w:r>
  </w:p>
  <w:p w14:paraId="3385B392">
    <w:pPr>
      <w:pStyle w:val="14"/>
      <w:pBdr>
        <w:bottom w:val="none" w:color="auto" w:sz="0" w:space="1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1F65411"/>
    <w:multiLevelType w:val="multilevel"/>
    <w:tmpl w:val="91F65411"/>
    <w:lvl w:ilvl="0" w:tentative="0">
      <w:start w:val="1"/>
      <w:numFmt w:val="chineseCounting"/>
      <w:pStyle w:val="2"/>
      <w:suff w:val="nothing"/>
      <w:lvlText w:val="%1、"/>
      <w:lvlJc w:val="left"/>
      <w:pPr>
        <w:tabs>
          <w:tab w:val="left" w:pos="0"/>
        </w:tabs>
        <w:ind w:left="0" w:leftChars="0" w:firstLine="0" w:firstLineChars="0"/>
      </w:pPr>
      <w:rPr>
        <w:rFonts w:hint="eastAsia" w:ascii="Times New Roman" w:hAnsi="Times New Roman" w:eastAsia="思源宋体 CN Light" w:cs="Tahoma"/>
        <w:b/>
        <w:sz w:val="32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tabs>
          <w:tab w:val="left" w:pos="0"/>
        </w:tabs>
        <w:ind w:left="0" w:leftChars="0" w:firstLine="0" w:firstLineChars="0"/>
      </w:pPr>
      <w:rPr>
        <w:rFonts w:hint="eastAsia" w:ascii="Times New Roman" w:hAnsi="Times New Roman" w:eastAsia="思源宋体 CN Light" w:cs="Tahoma"/>
        <w:b/>
        <w:sz w:val="30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tabs>
          <w:tab w:val="left" w:pos="0"/>
        </w:tabs>
        <w:ind w:left="0" w:leftChars="0" w:firstLine="0" w:firstLineChars="0"/>
      </w:pPr>
      <w:rPr>
        <w:rFonts w:hint="eastAsia" w:ascii="Times New Roman" w:hAnsi="Times New Roman" w:eastAsia="思源宋体 CN Light" w:cs="Tahoma"/>
        <w:b/>
        <w:sz w:val="28"/>
      </w:rPr>
    </w:lvl>
    <w:lvl w:ilvl="3" w:tentative="0">
      <w:start w:val="1"/>
      <w:numFmt w:val="decimal"/>
      <w:pStyle w:val="5"/>
      <w:isLgl/>
      <w:suff w:val="nothing"/>
      <w:lvlText w:val="%1.%2.%3.%4、"/>
      <w:lvlJc w:val="left"/>
      <w:pPr>
        <w:tabs>
          <w:tab w:val="left" w:pos="420"/>
        </w:tabs>
        <w:ind w:left="0" w:leftChars="0" w:firstLine="0" w:firstLineChars="0"/>
      </w:pPr>
      <w:rPr>
        <w:rFonts w:hint="eastAsia" w:ascii="Times New Roman" w:hAnsi="Times New Roman" w:eastAsia="微软雅黑 Light" w:cs="Tahoma"/>
        <w:b/>
        <w:sz w:val="24"/>
      </w:rPr>
    </w:lvl>
    <w:lvl w:ilvl="4" w:tentative="0">
      <w:start w:val="1"/>
      <w:numFmt w:val="decimal"/>
      <w:pStyle w:val="6"/>
      <w:isLgl/>
      <w:suff w:val="nothing"/>
      <w:lvlText w:val="%1.%2.%3.%4.%5、"/>
      <w:lvlJc w:val="left"/>
      <w:pPr>
        <w:tabs>
          <w:tab w:val="left" w:pos="420"/>
        </w:tabs>
        <w:ind w:left="0" w:leftChars="0" w:firstLine="0" w:firstLineChars="0"/>
      </w:pPr>
      <w:rPr>
        <w:rFonts w:hint="eastAsia" w:ascii="Times New Roman" w:hAnsi="Times New Roman" w:eastAsia="思源宋体 CN Light" w:cs="Tahoma"/>
        <w:b/>
        <w:sz w:val="21"/>
      </w:rPr>
    </w:lvl>
    <w:lvl w:ilvl="5" w:tentative="0">
      <w:start w:val="1"/>
      <w:numFmt w:val="decimal"/>
      <w:pStyle w:val="7"/>
      <w:isLgl/>
      <w:lvlText w:val="%1.%2.%3.%4.%5.%6."/>
      <w:lvlJc w:val="left"/>
      <w:pPr>
        <w:ind w:left="1151" w:hanging="1151"/>
      </w:pPr>
      <w:rPr>
        <w:rFonts w:hint="eastAsia"/>
      </w:rPr>
    </w:lvl>
    <w:lvl w:ilvl="6" w:tentative="0">
      <w:start w:val="1"/>
      <w:numFmt w:val="decimal"/>
      <w:pStyle w:val="8"/>
      <w:isLgl/>
      <w:lvlText w:val="%1.%2.%3.%4.%5.%6.%7."/>
      <w:lvlJc w:val="left"/>
      <w:pPr>
        <w:ind w:left="1296" w:hanging="1296"/>
      </w:pPr>
      <w:rPr>
        <w:rFonts w:hint="eastAsia"/>
      </w:rPr>
    </w:lvl>
    <w:lvl w:ilvl="7" w:tentative="0">
      <w:start w:val="1"/>
      <w:numFmt w:val="decimal"/>
      <w:pStyle w:val="9"/>
      <w:isLgl/>
      <w:lvlText w:val="%1.%2.%3.%4.%5.%6.%7.%8."/>
      <w:lvlJc w:val="left"/>
      <w:pPr>
        <w:ind w:left="1440" w:hanging="1440"/>
      </w:pPr>
      <w:rPr>
        <w:rFonts w:hint="eastAsia"/>
      </w:rPr>
    </w:lvl>
    <w:lvl w:ilvl="8" w:tentative="0">
      <w:start w:val="1"/>
      <w:numFmt w:val="decimal"/>
      <w:pStyle w:val="10"/>
      <w:isLgl/>
      <w:lvlText w:val="%1.%2.%3.%4.%5.%6.%7.%8.%9."/>
      <w:lvlJc w:val="left"/>
      <w:pPr>
        <w:ind w:left="1583" w:hanging="1583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doNotDisplayPageBoundaries w:val="1"/>
  <w:embedSystem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Q1NjQ5YzkzZTdhMmIzMDEwNWRmNzVjM2E1NzkzYWIifQ=="/>
  </w:docVars>
  <w:rsids>
    <w:rsidRoot w:val="20DB12CA"/>
    <w:rsid w:val="00046CA0"/>
    <w:rsid w:val="000D6967"/>
    <w:rsid w:val="00270BE1"/>
    <w:rsid w:val="004C0647"/>
    <w:rsid w:val="02376795"/>
    <w:rsid w:val="02C37D27"/>
    <w:rsid w:val="02CD7D63"/>
    <w:rsid w:val="03712C28"/>
    <w:rsid w:val="045A77D7"/>
    <w:rsid w:val="04D37589"/>
    <w:rsid w:val="05050531"/>
    <w:rsid w:val="05253060"/>
    <w:rsid w:val="052B0FD3"/>
    <w:rsid w:val="055204AE"/>
    <w:rsid w:val="05E1055E"/>
    <w:rsid w:val="068154EF"/>
    <w:rsid w:val="06A17E5A"/>
    <w:rsid w:val="076B3AA9"/>
    <w:rsid w:val="07703AF0"/>
    <w:rsid w:val="08161C67"/>
    <w:rsid w:val="08420D94"/>
    <w:rsid w:val="0A09040F"/>
    <w:rsid w:val="0A6D3367"/>
    <w:rsid w:val="0A780355"/>
    <w:rsid w:val="0A814A9E"/>
    <w:rsid w:val="0A943887"/>
    <w:rsid w:val="0ADD1028"/>
    <w:rsid w:val="0AE36850"/>
    <w:rsid w:val="0B0B37ED"/>
    <w:rsid w:val="0BC4144B"/>
    <w:rsid w:val="0C054676"/>
    <w:rsid w:val="0C4E1CFD"/>
    <w:rsid w:val="0C5F2B08"/>
    <w:rsid w:val="0CF2225A"/>
    <w:rsid w:val="0D0E73B0"/>
    <w:rsid w:val="0D8B6DA1"/>
    <w:rsid w:val="0DA815B3"/>
    <w:rsid w:val="0E1327A4"/>
    <w:rsid w:val="0EC57BBE"/>
    <w:rsid w:val="0ED40186"/>
    <w:rsid w:val="0F397575"/>
    <w:rsid w:val="0FC80F1F"/>
    <w:rsid w:val="105834B3"/>
    <w:rsid w:val="10672344"/>
    <w:rsid w:val="10CB0C94"/>
    <w:rsid w:val="1165197F"/>
    <w:rsid w:val="11665A0D"/>
    <w:rsid w:val="117143B2"/>
    <w:rsid w:val="1178173A"/>
    <w:rsid w:val="11847F39"/>
    <w:rsid w:val="11BB562D"/>
    <w:rsid w:val="1222745A"/>
    <w:rsid w:val="12B43481"/>
    <w:rsid w:val="12C03EDE"/>
    <w:rsid w:val="13173F01"/>
    <w:rsid w:val="13560838"/>
    <w:rsid w:val="13DC6FC6"/>
    <w:rsid w:val="13F5153C"/>
    <w:rsid w:val="147B7FBA"/>
    <w:rsid w:val="15033F04"/>
    <w:rsid w:val="16BA319D"/>
    <w:rsid w:val="16D451C7"/>
    <w:rsid w:val="17077527"/>
    <w:rsid w:val="17235040"/>
    <w:rsid w:val="179A6430"/>
    <w:rsid w:val="17F90C5D"/>
    <w:rsid w:val="1828643D"/>
    <w:rsid w:val="18C422A0"/>
    <w:rsid w:val="19297320"/>
    <w:rsid w:val="19570331"/>
    <w:rsid w:val="19EE47F1"/>
    <w:rsid w:val="19FA01DC"/>
    <w:rsid w:val="1A8F3C1E"/>
    <w:rsid w:val="1AF521AB"/>
    <w:rsid w:val="1B1B0E4F"/>
    <w:rsid w:val="1C021375"/>
    <w:rsid w:val="1C2806CD"/>
    <w:rsid w:val="1C2E6F87"/>
    <w:rsid w:val="1C462AF9"/>
    <w:rsid w:val="1D4B3D09"/>
    <w:rsid w:val="1D630053"/>
    <w:rsid w:val="1DC83663"/>
    <w:rsid w:val="1DEF608D"/>
    <w:rsid w:val="1DF60D84"/>
    <w:rsid w:val="1E141BB9"/>
    <w:rsid w:val="1E774AAA"/>
    <w:rsid w:val="1E894AE9"/>
    <w:rsid w:val="1EDB2626"/>
    <w:rsid w:val="1FAD325D"/>
    <w:rsid w:val="1FC81641"/>
    <w:rsid w:val="204E342E"/>
    <w:rsid w:val="20902B53"/>
    <w:rsid w:val="20DB12CA"/>
    <w:rsid w:val="21DE311D"/>
    <w:rsid w:val="22421B7E"/>
    <w:rsid w:val="22E01A16"/>
    <w:rsid w:val="23083EE8"/>
    <w:rsid w:val="23350756"/>
    <w:rsid w:val="23CF5A54"/>
    <w:rsid w:val="24064BC6"/>
    <w:rsid w:val="242640FF"/>
    <w:rsid w:val="24A63957"/>
    <w:rsid w:val="24FB5123"/>
    <w:rsid w:val="260B672B"/>
    <w:rsid w:val="26BB66FE"/>
    <w:rsid w:val="270F224B"/>
    <w:rsid w:val="271B6D61"/>
    <w:rsid w:val="274E2D73"/>
    <w:rsid w:val="27746565"/>
    <w:rsid w:val="27E160ED"/>
    <w:rsid w:val="27F10129"/>
    <w:rsid w:val="281A2C55"/>
    <w:rsid w:val="28AF1C0F"/>
    <w:rsid w:val="294B7CD4"/>
    <w:rsid w:val="29564161"/>
    <w:rsid w:val="29634345"/>
    <w:rsid w:val="2A302C4F"/>
    <w:rsid w:val="2B1A599B"/>
    <w:rsid w:val="2B566905"/>
    <w:rsid w:val="2B647482"/>
    <w:rsid w:val="2C4D184B"/>
    <w:rsid w:val="2C792640"/>
    <w:rsid w:val="2C8A3ED2"/>
    <w:rsid w:val="2CA64AB8"/>
    <w:rsid w:val="2D7B4088"/>
    <w:rsid w:val="2DC34DBA"/>
    <w:rsid w:val="2DD643DC"/>
    <w:rsid w:val="2E4D14FF"/>
    <w:rsid w:val="2E513149"/>
    <w:rsid w:val="2F065CE2"/>
    <w:rsid w:val="31721F17"/>
    <w:rsid w:val="31C7431E"/>
    <w:rsid w:val="31F664E1"/>
    <w:rsid w:val="32382656"/>
    <w:rsid w:val="32472899"/>
    <w:rsid w:val="33062F0A"/>
    <w:rsid w:val="33F966AB"/>
    <w:rsid w:val="346C4839"/>
    <w:rsid w:val="34D62961"/>
    <w:rsid w:val="35066A3B"/>
    <w:rsid w:val="358E0144"/>
    <w:rsid w:val="35B53FBD"/>
    <w:rsid w:val="35D23F20"/>
    <w:rsid w:val="363B2715"/>
    <w:rsid w:val="36625E4D"/>
    <w:rsid w:val="381B3F7A"/>
    <w:rsid w:val="392F4087"/>
    <w:rsid w:val="39396CB4"/>
    <w:rsid w:val="395835DE"/>
    <w:rsid w:val="3971469F"/>
    <w:rsid w:val="397C551E"/>
    <w:rsid w:val="39875C71"/>
    <w:rsid w:val="399122FC"/>
    <w:rsid w:val="39934616"/>
    <w:rsid w:val="39CE5131"/>
    <w:rsid w:val="39F04DA7"/>
    <w:rsid w:val="3A7D7404"/>
    <w:rsid w:val="3AC96777"/>
    <w:rsid w:val="3AD76784"/>
    <w:rsid w:val="3B06492D"/>
    <w:rsid w:val="3B2C38B8"/>
    <w:rsid w:val="3B4A04A4"/>
    <w:rsid w:val="3B62289D"/>
    <w:rsid w:val="3C6F3118"/>
    <w:rsid w:val="3C826AA5"/>
    <w:rsid w:val="3D42574D"/>
    <w:rsid w:val="3D532FF7"/>
    <w:rsid w:val="3D5C3BD3"/>
    <w:rsid w:val="3DC73B8A"/>
    <w:rsid w:val="3E194D39"/>
    <w:rsid w:val="3E9E1A93"/>
    <w:rsid w:val="3EE53119"/>
    <w:rsid w:val="3F656A54"/>
    <w:rsid w:val="3F6D5314"/>
    <w:rsid w:val="3FE536F1"/>
    <w:rsid w:val="410C362B"/>
    <w:rsid w:val="42827092"/>
    <w:rsid w:val="43283616"/>
    <w:rsid w:val="432914FE"/>
    <w:rsid w:val="438A3ED6"/>
    <w:rsid w:val="43D91FB2"/>
    <w:rsid w:val="44015B0E"/>
    <w:rsid w:val="44295CDE"/>
    <w:rsid w:val="445E1529"/>
    <w:rsid w:val="4471536D"/>
    <w:rsid w:val="45C514C9"/>
    <w:rsid w:val="47240FA3"/>
    <w:rsid w:val="476A6587"/>
    <w:rsid w:val="479123E9"/>
    <w:rsid w:val="47A125F4"/>
    <w:rsid w:val="47A21811"/>
    <w:rsid w:val="480706A9"/>
    <w:rsid w:val="481D677E"/>
    <w:rsid w:val="48C42A3E"/>
    <w:rsid w:val="49315313"/>
    <w:rsid w:val="49C41423"/>
    <w:rsid w:val="4A851D59"/>
    <w:rsid w:val="4B6062D9"/>
    <w:rsid w:val="4B6D2F19"/>
    <w:rsid w:val="4BA97CC9"/>
    <w:rsid w:val="4BD96800"/>
    <w:rsid w:val="4C5D11DF"/>
    <w:rsid w:val="4D451A63"/>
    <w:rsid w:val="4D8A4135"/>
    <w:rsid w:val="4DEC757C"/>
    <w:rsid w:val="4DFD7989"/>
    <w:rsid w:val="4E985E5F"/>
    <w:rsid w:val="4EEE7D12"/>
    <w:rsid w:val="50373AF5"/>
    <w:rsid w:val="5040703F"/>
    <w:rsid w:val="50DF5B9C"/>
    <w:rsid w:val="50EC2B32"/>
    <w:rsid w:val="5129575C"/>
    <w:rsid w:val="51422BA6"/>
    <w:rsid w:val="516E5BFF"/>
    <w:rsid w:val="520A3967"/>
    <w:rsid w:val="52C00E40"/>
    <w:rsid w:val="538D671C"/>
    <w:rsid w:val="54161C73"/>
    <w:rsid w:val="544D69BD"/>
    <w:rsid w:val="545D78A2"/>
    <w:rsid w:val="54EB4EAE"/>
    <w:rsid w:val="54FE4BE1"/>
    <w:rsid w:val="554E3DBB"/>
    <w:rsid w:val="556A04C9"/>
    <w:rsid w:val="55CE365E"/>
    <w:rsid w:val="55D122F6"/>
    <w:rsid w:val="563E4AE1"/>
    <w:rsid w:val="56764C4B"/>
    <w:rsid w:val="5697353F"/>
    <w:rsid w:val="56AF62E2"/>
    <w:rsid w:val="571A509D"/>
    <w:rsid w:val="572402D6"/>
    <w:rsid w:val="57E8410D"/>
    <w:rsid w:val="584B45E2"/>
    <w:rsid w:val="586C27AA"/>
    <w:rsid w:val="5877191D"/>
    <w:rsid w:val="587F3E30"/>
    <w:rsid w:val="597B0EF6"/>
    <w:rsid w:val="599E6993"/>
    <w:rsid w:val="59C83A10"/>
    <w:rsid w:val="59DD74BB"/>
    <w:rsid w:val="5A480423"/>
    <w:rsid w:val="5A5A0E06"/>
    <w:rsid w:val="5B1F0CB5"/>
    <w:rsid w:val="5BC522BB"/>
    <w:rsid w:val="5BDB6D4A"/>
    <w:rsid w:val="5BF62AB6"/>
    <w:rsid w:val="5C0162D4"/>
    <w:rsid w:val="5C715804"/>
    <w:rsid w:val="5D5E1DC2"/>
    <w:rsid w:val="5D9D51E6"/>
    <w:rsid w:val="5DF12ACB"/>
    <w:rsid w:val="5F9D1BC2"/>
    <w:rsid w:val="5FBC5DC5"/>
    <w:rsid w:val="5FE4753D"/>
    <w:rsid w:val="60316B64"/>
    <w:rsid w:val="60D500F2"/>
    <w:rsid w:val="60D63977"/>
    <w:rsid w:val="61000760"/>
    <w:rsid w:val="613A1F85"/>
    <w:rsid w:val="617F17F1"/>
    <w:rsid w:val="61F8409E"/>
    <w:rsid w:val="62042A87"/>
    <w:rsid w:val="624E0C6E"/>
    <w:rsid w:val="63FE0C26"/>
    <w:rsid w:val="64030466"/>
    <w:rsid w:val="64FB6CCD"/>
    <w:rsid w:val="654A79CF"/>
    <w:rsid w:val="66B61B80"/>
    <w:rsid w:val="673821D5"/>
    <w:rsid w:val="679F4987"/>
    <w:rsid w:val="67DB0DB2"/>
    <w:rsid w:val="683F7593"/>
    <w:rsid w:val="68817BAC"/>
    <w:rsid w:val="68955405"/>
    <w:rsid w:val="69C935B8"/>
    <w:rsid w:val="69D65AA7"/>
    <w:rsid w:val="6A1F767C"/>
    <w:rsid w:val="6A4470E3"/>
    <w:rsid w:val="6AF91C7B"/>
    <w:rsid w:val="6AFF5AC3"/>
    <w:rsid w:val="6BD95EAB"/>
    <w:rsid w:val="6BFB7C75"/>
    <w:rsid w:val="6CA868DA"/>
    <w:rsid w:val="6D5824B1"/>
    <w:rsid w:val="6D7101EF"/>
    <w:rsid w:val="6DA94D04"/>
    <w:rsid w:val="6DB1683D"/>
    <w:rsid w:val="6DEC55DF"/>
    <w:rsid w:val="6E072901"/>
    <w:rsid w:val="6E0C0F50"/>
    <w:rsid w:val="6E3C2B7F"/>
    <w:rsid w:val="6E846C45"/>
    <w:rsid w:val="6E9028F6"/>
    <w:rsid w:val="6F521098"/>
    <w:rsid w:val="700C4398"/>
    <w:rsid w:val="703D468A"/>
    <w:rsid w:val="71BE790F"/>
    <w:rsid w:val="721C7E4B"/>
    <w:rsid w:val="72676064"/>
    <w:rsid w:val="727147ED"/>
    <w:rsid w:val="727A5F55"/>
    <w:rsid w:val="72D059B7"/>
    <w:rsid w:val="740F250F"/>
    <w:rsid w:val="74487C30"/>
    <w:rsid w:val="74A9463F"/>
    <w:rsid w:val="74B90C35"/>
    <w:rsid w:val="74E11E6C"/>
    <w:rsid w:val="750556C0"/>
    <w:rsid w:val="751122B7"/>
    <w:rsid w:val="757C1A48"/>
    <w:rsid w:val="75AD76B7"/>
    <w:rsid w:val="775F6EEC"/>
    <w:rsid w:val="77770237"/>
    <w:rsid w:val="77C178FD"/>
    <w:rsid w:val="78866B18"/>
    <w:rsid w:val="78EE303B"/>
    <w:rsid w:val="79155BE7"/>
    <w:rsid w:val="792668E1"/>
    <w:rsid w:val="79B72E08"/>
    <w:rsid w:val="7AD754D2"/>
    <w:rsid w:val="7AF45E81"/>
    <w:rsid w:val="7BAB271B"/>
    <w:rsid w:val="7BC22EDC"/>
    <w:rsid w:val="7BF74700"/>
    <w:rsid w:val="7BFC15CB"/>
    <w:rsid w:val="7C635EEE"/>
    <w:rsid w:val="7D0A5458"/>
    <w:rsid w:val="7D311BA8"/>
    <w:rsid w:val="7DA81D8F"/>
    <w:rsid w:val="7DDD542C"/>
    <w:rsid w:val="7DE642E1"/>
    <w:rsid w:val="7DEB5D9B"/>
    <w:rsid w:val="7E5C45A3"/>
    <w:rsid w:val="7EBC6B26"/>
    <w:rsid w:val="7EDF0CBE"/>
    <w:rsid w:val="7F891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  <w:jc w:val="left"/>
    </w:pPr>
    <w:rPr>
      <w:rFonts w:ascii="Times New Roman" w:hAnsi="Times New Roman" w:eastAsia="思源宋体 CN Light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120" w:beforeLines="0" w:beforeAutospacing="0" w:after="120" w:afterLines="0" w:afterAutospacing="0" w:line="360" w:lineRule="auto"/>
      <w:ind w:firstLine="0" w:firstLineChars="0"/>
      <w:jc w:val="both"/>
      <w:outlineLvl w:val="0"/>
    </w:pPr>
    <w:rPr>
      <w:b/>
      <w:kern w:val="44"/>
      <w:sz w:val="32"/>
    </w:rPr>
  </w:style>
  <w:style w:type="paragraph" w:styleId="3">
    <w:name w:val="heading 2"/>
    <w:basedOn w:val="1"/>
    <w:next w:val="1"/>
    <w:qFormat/>
    <w:uiPriority w:val="0"/>
    <w:pPr>
      <w:keepNext w:val="0"/>
      <w:keepLines w:val="0"/>
      <w:numPr>
        <w:ilvl w:val="1"/>
        <w:numId w:val="1"/>
      </w:numPr>
      <w:tabs>
        <w:tab w:val="left" w:pos="567"/>
        <w:tab w:val="clear" w:pos="0"/>
      </w:tabs>
      <w:spacing w:before="120" w:after="120"/>
      <w:ind w:left="0" w:firstLine="0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spacing w:before="260" w:beforeLines="0" w:beforeAutospacing="0" w:after="260" w:afterLines="0" w:afterAutospacing="0" w:line="413" w:lineRule="auto"/>
      <w:ind w:left="0" w:firstLine="0" w:firstLineChars="0"/>
      <w:outlineLvl w:val="2"/>
    </w:pPr>
    <w:rPr>
      <w:b/>
      <w:sz w:val="32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left="0" w:firstLine="0" w:firstLineChars="0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0" w:firstLine="0" w:firstLineChars="0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 w:firstLineChars="0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 w:firstLineChars="0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 w:firstLineChars="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 w:firstLineChars="0"/>
      <w:outlineLvl w:val="8"/>
    </w:pPr>
    <w:rPr>
      <w:rFonts w:ascii="Arial" w:hAnsi="Arial" w:eastAsia="黑体"/>
      <w:sz w:val="21"/>
    </w:rPr>
  </w:style>
  <w:style w:type="character" w:default="1" w:styleId="19">
    <w:name w:val="Default Paragraph Font"/>
    <w:semiHidden/>
    <w:qFormat/>
    <w:uiPriority w:val="0"/>
  </w:style>
  <w:style w:type="table" w:default="1" w:styleId="1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annotation text"/>
    <w:basedOn w:val="1"/>
    <w:qFormat/>
    <w:uiPriority w:val="0"/>
    <w:pPr>
      <w:jc w:val="left"/>
    </w:pPr>
  </w:style>
  <w:style w:type="paragraph" w:styleId="12">
    <w:name w:val="toc 3"/>
    <w:basedOn w:val="1"/>
    <w:next w:val="1"/>
    <w:qFormat/>
    <w:uiPriority w:val="0"/>
    <w:pPr>
      <w:ind w:left="840" w:leftChars="400"/>
    </w:pPr>
  </w:style>
  <w:style w:type="paragraph" w:styleId="13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4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5">
    <w:name w:val="toc 1"/>
    <w:basedOn w:val="1"/>
    <w:next w:val="1"/>
    <w:qFormat/>
    <w:uiPriority w:val="0"/>
    <w:pPr>
      <w:spacing w:line="240" w:lineRule="auto"/>
      <w:ind w:firstLine="0" w:firstLineChars="0"/>
    </w:pPr>
  </w:style>
  <w:style w:type="paragraph" w:styleId="16">
    <w:name w:val="toc 2"/>
    <w:basedOn w:val="1"/>
    <w:next w:val="1"/>
    <w:qFormat/>
    <w:uiPriority w:val="0"/>
    <w:pPr>
      <w:spacing w:line="240" w:lineRule="auto"/>
      <w:ind w:left="0" w:leftChars="0"/>
    </w:pPr>
  </w:style>
  <w:style w:type="paragraph" w:styleId="17">
    <w:name w:val="Normal (Web)"/>
    <w:basedOn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kern w:val="0"/>
      <w:sz w:val="24"/>
      <w:lang w:val="en-US" w:eastAsia="zh-CN" w:bidi="ar"/>
    </w:rPr>
  </w:style>
  <w:style w:type="character" w:styleId="20">
    <w:name w:val="Strong"/>
    <w:basedOn w:val="19"/>
    <w:qFormat/>
    <w:uiPriority w:val="0"/>
    <w:rPr>
      <w:b/>
      <w:bCs/>
    </w:rPr>
  </w:style>
  <w:style w:type="character" w:styleId="21">
    <w:name w:val="FollowedHyperlink"/>
    <w:basedOn w:val="19"/>
    <w:qFormat/>
    <w:uiPriority w:val="0"/>
    <w:rPr>
      <w:color w:val="145CCD"/>
      <w:u w:val="none"/>
    </w:rPr>
  </w:style>
  <w:style w:type="character" w:styleId="22">
    <w:name w:val="Emphasis"/>
    <w:basedOn w:val="19"/>
    <w:qFormat/>
    <w:uiPriority w:val="0"/>
    <w:rPr>
      <w:b/>
      <w:bCs/>
    </w:rPr>
  </w:style>
  <w:style w:type="character" w:styleId="23">
    <w:name w:val="HTML Definition"/>
    <w:basedOn w:val="19"/>
    <w:qFormat/>
    <w:uiPriority w:val="0"/>
  </w:style>
  <w:style w:type="character" w:styleId="24">
    <w:name w:val="HTML Typewriter"/>
    <w:basedOn w:val="19"/>
    <w:qFormat/>
    <w:uiPriority w:val="0"/>
    <w:rPr>
      <w:rFonts w:hint="default" w:ascii="monospace" w:hAnsi="monospace" w:eastAsia="monospace" w:cs="monospace"/>
      <w:sz w:val="20"/>
    </w:rPr>
  </w:style>
  <w:style w:type="character" w:styleId="25">
    <w:name w:val="HTML Acronym"/>
    <w:basedOn w:val="19"/>
    <w:qFormat/>
    <w:uiPriority w:val="0"/>
  </w:style>
  <w:style w:type="character" w:styleId="26">
    <w:name w:val="HTML Variable"/>
    <w:basedOn w:val="19"/>
    <w:qFormat/>
    <w:uiPriority w:val="0"/>
  </w:style>
  <w:style w:type="character" w:styleId="27">
    <w:name w:val="Hyperlink"/>
    <w:basedOn w:val="19"/>
    <w:qFormat/>
    <w:uiPriority w:val="0"/>
    <w:rPr>
      <w:color w:val="145CCD"/>
      <w:u w:val="none"/>
    </w:rPr>
  </w:style>
  <w:style w:type="character" w:styleId="28">
    <w:name w:val="HTML Code"/>
    <w:basedOn w:val="19"/>
    <w:qFormat/>
    <w:uiPriority w:val="0"/>
    <w:rPr>
      <w:rFonts w:hint="default" w:ascii="monospace" w:hAnsi="monospace" w:eastAsia="monospace" w:cs="monospace"/>
      <w:sz w:val="20"/>
    </w:rPr>
  </w:style>
  <w:style w:type="character" w:styleId="29">
    <w:name w:val="HTML Cite"/>
    <w:basedOn w:val="19"/>
    <w:qFormat/>
    <w:uiPriority w:val="0"/>
  </w:style>
  <w:style w:type="character" w:styleId="30">
    <w:name w:val="HTML Keyboard"/>
    <w:basedOn w:val="19"/>
    <w:qFormat/>
    <w:uiPriority w:val="0"/>
    <w:rPr>
      <w:rFonts w:ascii="monospace" w:hAnsi="monospace" w:eastAsia="monospace" w:cs="monospace"/>
      <w:sz w:val="20"/>
    </w:rPr>
  </w:style>
  <w:style w:type="character" w:styleId="31">
    <w:name w:val="HTML Sample"/>
    <w:basedOn w:val="19"/>
    <w:qFormat/>
    <w:uiPriority w:val="0"/>
    <w:rPr>
      <w:rFonts w:hint="default" w:ascii="monospace" w:hAnsi="monospace" w:eastAsia="monospace" w:cs="monospace"/>
    </w:rPr>
  </w:style>
  <w:style w:type="paragraph" w:customStyle="1" w:styleId="32">
    <w:name w:val="样式 首行缩进:  2 字符"/>
    <w:basedOn w:val="1"/>
    <w:qFormat/>
    <w:uiPriority w:val="0"/>
    <w:pPr>
      <w:ind w:firstLine="480" w:firstLineChars="200"/>
    </w:pPr>
    <w:rPr>
      <w:rFonts w:ascii="Calibri" w:hAnsi="Calibri" w:cs="宋体"/>
      <w:color w:val="000000"/>
      <w:szCs w:val="20"/>
    </w:rPr>
  </w:style>
  <w:style w:type="character" w:customStyle="1" w:styleId="33">
    <w:name w:val="hover3"/>
    <w:basedOn w:val="19"/>
    <w:qFormat/>
    <w:uiPriority w:val="0"/>
    <w:rPr>
      <w:color w:val="EB0909"/>
    </w:rPr>
  </w:style>
  <w:style w:type="paragraph" w:customStyle="1" w:styleId="34">
    <w:name w:val="样式1"/>
    <w:basedOn w:val="1"/>
    <w:qFormat/>
    <w:uiPriority w:val="0"/>
    <w:pPr>
      <w:ind w:firstLine="0" w:firstLineChars="0"/>
      <w:jc w:val="center"/>
    </w:pPr>
  </w:style>
  <w:style w:type="character" w:customStyle="1" w:styleId="35">
    <w:name w:val="layui-layer-tabnow"/>
    <w:basedOn w:val="19"/>
    <w:qFormat/>
    <w:uiPriority w:val="0"/>
    <w:rPr>
      <w:bdr w:val="single" w:color="CCCCCC" w:sz="6" w:space="0"/>
      <w:shd w:val="clear" w:fill="FFFFFF"/>
    </w:rPr>
  </w:style>
  <w:style w:type="character" w:customStyle="1" w:styleId="36">
    <w:name w:val="first-child"/>
    <w:basedOn w:val="19"/>
    <w:qFormat/>
    <w:uiPriority w:val="0"/>
  </w:style>
  <w:style w:type="paragraph" w:customStyle="1" w:styleId="37">
    <w:name w:val="tip"/>
    <w:basedOn w:val="1"/>
    <w:qFormat/>
    <w:uiPriority w:val="0"/>
    <w:pPr>
      <w:spacing w:line="360" w:lineRule="atLeast"/>
      <w:jc w:val="left"/>
    </w:pPr>
    <w:rPr>
      <w:color w:val="333333"/>
      <w:kern w:val="0"/>
      <w:sz w:val="24"/>
      <w:szCs w:val="24"/>
      <w:lang w:val="en-US" w:eastAsia="zh-CN" w:bidi="ar"/>
    </w:rPr>
  </w:style>
  <w:style w:type="character" w:customStyle="1" w:styleId="38">
    <w:name w:val="hover2"/>
    <w:basedOn w:val="19"/>
    <w:qFormat/>
    <w:uiPriority w:val="0"/>
    <w:rPr>
      <w:color w:val="5FB878"/>
    </w:rPr>
  </w:style>
  <w:style w:type="character" w:customStyle="1" w:styleId="39">
    <w:name w:val="hover4"/>
    <w:basedOn w:val="19"/>
    <w:qFormat/>
    <w:uiPriority w:val="0"/>
    <w:rPr>
      <w:color w:val="FFFFFF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4" Type="http://schemas.openxmlformats.org/officeDocument/2006/relationships/fontTable" Target="fontTable.xml"/><Relationship Id="rId73" Type="http://schemas.openxmlformats.org/officeDocument/2006/relationships/numbering" Target="numbering.xml"/><Relationship Id="rId72" Type="http://schemas.openxmlformats.org/officeDocument/2006/relationships/image" Target="media/image59.png"/><Relationship Id="rId71" Type="http://schemas.openxmlformats.org/officeDocument/2006/relationships/image" Target="media/image58.png"/><Relationship Id="rId70" Type="http://schemas.openxmlformats.org/officeDocument/2006/relationships/image" Target="media/image57.png"/><Relationship Id="rId7" Type="http://schemas.openxmlformats.org/officeDocument/2006/relationships/header" Target="header3.xml"/><Relationship Id="rId69" Type="http://schemas.openxmlformats.org/officeDocument/2006/relationships/image" Target="media/image56.png"/><Relationship Id="rId68" Type="http://schemas.openxmlformats.org/officeDocument/2006/relationships/image" Target="media/image55.png"/><Relationship Id="rId67" Type="http://schemas.openxmlformats.org/officeDocument/2006/relationships/image" Target="media/image54.png"/><Relationship Id="rId66" Type="http://schemas.openxmlformats.org/officeDocument/2006/relationships/image" Target="media/image53.png"/><Relationship Id="rId65" Type="http://schemas.openxmlformats.org/officeDocument/2006/relationships/image" Target="media/image52.png"/><Relationship Id="rId64" Type="http://schemas.openxmlformats.org/officeDocument/2006/relationships/image" Target="media/image51.png"/><Relationship Id="rId63" Type="http://schemas.openxmlformats.org/officeDocument/2006/relationships/image" Target="media/image50.png"/><Relationship Id="rId62" Type="http://schemas.openxmlformats.org/officeDocument/2006/relationships/image" Target="media/image49.png"/><Relationship Id="rId61" Type="http://schemas.openxmlformats.org/officeDocument/2006/relationships/image" Target="media/image48.png"/><Relationship Id="rId60" Type="http://schemas.openxmlformats.org/officeDocument/2006/relationships/image" Target="media/image47.png"/><Relationship Id="rId6" Type="http://schemas.openxmlformats.org/officeDocument/2006/relationships/header" Target="header2.xml"/><Relationship Id="rId59" Type="http://schemas.openxmlformats.org/officeDocument/2006/relationships/image" Target="media/image46.png"/><Relationship Id="rId58" Type="http://schemas.openxmlformats.org/officeDocument/2006/relationships/image" Target="media/image45.png"/><Relationship Id="rId57" Type="http://schemas.openxmlformats.org/officeDocument/2006/relationships/image" Target="media/image44.png"/><Relationship Id="rId56" Type="http://schemas.openxmlformats.org/officeDocument/2006/relationships/image" Target="media/image43.png"/><Relationship Id="rId55" Type="http://schemas.openxmlformats.org/officeDocument/2006/relationships/image" Target="media/image42.png"/><Relationship Id="rId54" Type="http://schemas.openxmlformats.org/officeDocument/2006/relationships/image" Target="media/image41.png"/><Relationship Id="rId53" Type="http://schemas.openxmlformats.org/officeDocument/2006/relationships/image" Target="media/image40.png"/><Relationship Id="rId52" Type="http://schemas.openxmlformats.org/officeDocument/2006/relationships/image" Target="media/image39.png"/><Relationship Id="rId51" Type="http://schemas.openxmlformats.org/officeDocument/2006/relationships/image" Target="media/image38.png"/><Relationship Id="rId50" Type="http://schemas.openxmlformats.org/officeDocument/2006/relationships/image" Target="media/image37.png"/><Relationship Id="rId5" Type="http://schemas.openxmlformats.org/officeDocument/2006/relationships/header" Target="header1.xml"/><Relationship Id="rId49" Type="http://schemas.openxmlformats.org/officeDocument/2006/relationships/image" Target="media/image36.png"/><Relationship Id="rId48" Type="http://schemas.openxmlformats.org/officeDocument/2006/relationships/image" Target="media/image35.png"/><Relationship Id="rId47" Type="http://schemas.openxmlformats.org/officeDocument/2006/relationships/image" Target="media/image34.png"/><Relationship Id="rId46" Type="http://schemas.openxmlformats.org/officeDocument/2006/relationships/image" Target="media/image33.png"/><Relationship Id="rId45" Type="http://schemas.openxmlformats.org/officeDocument/2006/relationships/image" Target="media/image32.png"/><Relationship Id="rId44" Type="http://schemas.openxmlformats.org/officeDocument/2006/relationships/image" Target="media/image31.png"/><Relationship Id="rId43" Type="http://schemas.openxmlformats.org/officeDocument/2006/relationships/image" Target="media/image30.png"/><Relationship Id="rId42" Type="http://schemas.openxmlformats.org/officeDocument/2006/relationships/image" Target="media/image29.png"/><Relationship Id="rId41" Type="http://schemas.openxmlformats.org/officeDocument/2006/relationships/image" Target="media/image28.png"/><Relationship Id="rId40" Type="http://schemas.openxmlformats.org/officeDocument/2006/relationships/image" Target="media/image27.png"/><Relationship Id="rId4" Type="http://schemas.openxmlformats.org/officeDocument/2006/relationships/endnotes" Target="endnotes.xml"/><Relationship Id="rId39" Type="http://schemas.openxmlformats.org/officeDocument/2006/relationships/image" Target="media/image26.png"/><Relationship Id="rId38" Type="http://schemas.openxmlformats.org/officeDocument/2006/relationships/image" Target="media/image25.png"/><Relationship Id="rId37" Type="http://schemas.openxmlformats.org/officeDocument/2006/relationships/image" Target="media/image24.png"/><Relationship Id="rId36" Type="http://schemas.openxmlformats.org/officeDocument/2006/relationships/image" Target="media/image23.png"/><Relationship Id="rId35" Type="http://schemas.openxmlformats.org/officeDocument/2006/relationships/image" Target="media/image22.png"/><Relationship Id="rId34" Type="http://schemas.openxmlformats.org/officeDocument/2006/relationships/image" Target="media/image21.png"/><Relationship Id="rId33" Type="http://schemas.openxmlformats.org/officeDocument/2006/relationships/image" Target="media/image20.png"/><Relationship Id="rId32" Type="http://schemas.openxmlformats.org/officeDocument/2006/relationships/image" Target="media/image19.png"/><Relationship Id="rId31" Type="http://schemas.openxmlformats.org/officeDocument/2006/relationships/image" Target="media/image18.png"/><Relationship Id="rId30" Type="http://schemas.openxmlformats.org/officeDocument/2006/relationships/image" Target="media/image17.png"/><Relationship Id="rId3" Type="http://schemas.openxmlformats.org/officeDocument/2006/relationships/footnotes" Target="footnotes.xml"/><Relationship Id="rId29" Type="http://schemas.openxmlformats.org/officeDocument/2006/relationships/image" Target="media/image16.png"/><Relationship Id="rId28" Type="http://schemas.openxmlformats.org/officeDocument/2006/relationships/image" Target="media/image15.png"/><Relationship Id="rId27" Type="http://schemas.openxmlformats.org/officeDocument/2006/relationships/image" Target="media/image14.png"/><Relationship Id="rId26" Type="http://schemas.openxmlformats.org/officeDocument/2006/relationships/image" Target="media/image13.png"/><Relationship Id="rId25" Type="http://schemas.openxmlformats.org/officeDocument/2006/relationships/image" Target="media/image12.png"/><Relationship Id="rId24" Type="http://schemas.openxmlformats.org/officeDocument/2006/relationships/image" Target="media/image11.png"/><Relationship Id="rId23" Type="http://schemas.openxmlformats.org/officeDocument/2006/relationships/image" Target="media/image10.png"/><Relationship Id="rId22" Type="http://schemas.openxmlformats.org/officeDocument/2006/relationships/image" Target="media/image9.png"/><Relationship Id="rId21" Type="http://schemas.openxmlformats.org/officeDocument/2006/relationships/image" Target="media/image8.png"/><Relationship Id="rId20" Type="http://schemas.openxmlformats.org/officeDocument/2006/relationships/image" Target="media/image7.png"/><Relationship Id="rId2" Type="http://schemas.openxmlformats.org/officeDocument/2006/relationships/settings" Target="settings.xml"/><Relationship Id="rId19" Type="http://schemas.openxmlformats.org/officeDocument/2006/relationships/image" Target="media/image6.png"/><Relationship Id="rId18" Type="http://schemas.openxmlformats.org/officeDocument/2006/relationships/image" Target="media/image5.png"/><Relationship Id="rId17" Type="http://schemas.openxmlformats.org/officeDocument/2006/relationships/image" Target="media/image4.png"/><Relationship Id="rId16" Type="http://schemas.openxmlformats.org/officeDocument/2006/relationships/image" Target="media/image3.png"/><Relationship Id="rId15" Type="http://schemas.openxmlformats.org/officeDocument/2006/relationships/image" Target="media/image2.png"/><Relationship Id="rId14" Type="http://schemas.openxmlformats.org/officeDocument/2006/relationships/image" Target="media/image1.png"/><Relationship Id="rId13" Type="http://schemas.openxmlformats.org/officeDocument/2006/relationships/theme" Target="theme/theme1.xml"/><Relationship Id="rId12" Type="http://schemas.openxmlformats.org/officeDocument/2006/relationships/footer" Target="footer4.xml"/><Relationship Id="rId11" Type="http://schemas.openxmlformats.org/officeDocument/2006/relationships/header" Target="head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2299</Words>
  <Characters>2350</Characters>
  <Lines>0</Lines>
  <Paragraphs>0</Paragraphs>
  <TotalTime>4</TotalTime>
  <ScaleCrop>false</ScaleCrop>
  <LinksUpToDate>false</LinksUpToDate>
  <CharactersWithSpaces>2376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2021-12-20T02:52:00Z</dcterms:created>
  <dc:creator>WPS_1639373945</dc:creator>
  <cp:lastModifiedBy>glx</cp:lastModifiedBy>
  <dcterms:modified xsi:type="dcterms:W3CDTF">2026-05-09T00:20:03Z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6362370FC3E84110B65E8057DD0CCA88_13</vt:lpwstr>
  </property>
  <property fmtid="{D5CDD505-2E9C-101B-9397-08002B2CF9AE}" pid="4" name="commondata">
    <vt:lpwstr>eyJoZGlkIjoiYzRmMzRiMDgwMTZiMWJlMjZhNTNmZGViMzhmMDk0NzIifQ==</vt:lpwstr>
  </property>
  <property fmtid="{D5CDD505-2E9C-101B-9397-08002B2CF9AE}" pid="5" name="KSOTemplateDocerSaveRecord">
    <vt:lpwstr>eyJoZGlkIjoiNWU1NDkyNzAwOTc2ZDk3ZDZiNThhZTdkOTNjYTNjYmUiLCJ1c2VySWQiOiI2OTY3MTkxOTEifQ==</vt:lpwstr>
  </property>
</Properties>
</file>