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4B823F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20" w:lineRule="exact"/>
        <w:jc w:val="center"/>
        <w:textAlignment w:val="auto"/>
      </w:pPr>
      <w:bookmarkStart w:id="0" w:name="_GoBack"/>
      <w:bookmarkEnd w:id="0"/>
      <w:r>
        <w:rPr>
          <w:rFonts w:hint="eastAsia"/>
        </w:rPr>
        <w:t>河南龙宇国际贸易有限公司干调、米、面、油、奶类</w:t>
      </w:r>
      <w:r>
        <w:t>技术方案</w:t>
      </w:r>
    </w:p>
    <w:p w14:paraId="14D6717F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="0" w:beforeLines="0" w:after="0" w:afterLines="0" w:line="520" w:lineRule="exact"/>
        <w:ind w:firstLine="643" w:firstLineChars="200"/>
        <w:textAlignment w:val="auto"/>
      </w:pPr>
      <w:r>
        <w:t>一、总则</w:t>
      </w:r>
    </w:p>
    <w:p w14:paraId="370639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left="3" w:leftChars="0" w:firstLine="663" w:firstLineChars="220"/>
        <w:textAlignment w:val="auto"/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b/>
          <w:sz w:val="30"/>
          <w:szCs w:val="30"/>
          <w:lang w:val="en-US" w:eastAsia="zh-CN"/>
        </w:rPr>
        <w:t>1、</w:t>
      </w:r>
      <w:r>
        <w:rPr>
          <w:rFonts w:hint="eastAsia" w:ascii="仿宋" w:hAnsi="仿宋" w:eastAsia="仿宋" w:cs="仿宋"/>
          <w:b/>
          <w:sz w:val="30"/>
          <w:szCs w:val="30"/>
        </w:rPr>
        <w:t>适用范围</w:t>
      </w:r>
      <w:r>
        <w:rPr>
          <w:rFonts w:hint="eastAsia" w:ascii="仿宋" w:hAnsi="仿宋" w:eastAsia="仿宋" w:cs="仿宋"/>
          <w:sz w:val="30"/>
          <w:szCs w:val="30"/>
        </w:rPr>
        <w:t>：本技术方案适用于本次（干调料、米、面、油、奶类）及其他类物资供应招标项目，明确了对各类别物资的具体技术要求、质量标准、供应保障及服务规范。</w:t>
      </w:r>
    </w:p>
    <w:p w14:paraId="31C475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left="3" w:leftChars="0" w:firstLine="663" w:firstLineChars="22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  <w:lang w:val="en-US" w:eastAsia="zh-CN"/>
        </w:rPr>
        <w:t>2、</w:t>
      </w:r>
      <w:r>
        <w:rPr>
          <w:rFonts w:hint="eastAsia" w:ascii="仿宋" w:hAnsi="仿宋" w:eastAsia="仿宋" w:cs="仿宋"/>
          <w:b/>
          <w:sz w:val="30"/>
          <w:szCs w:val="30"/>
        </w:rPr>
        <w:t>总体要求</w:t>
      </w:r>
      <w:r>
        <w:rPr>
          <w:rFonts w:hint="eastAsia" w:ascii="仿宋" w:hAnsi="仿宋" w:eastAsia="仿宋" w:cs="仿宋"/>
          <w:sz w:val="30"/>
          <w:szCs w:val="30"/>
        </w:rPr>
        <w:t>：投标人须具备合法的经营资质、稳定的供货渠道、完善的质量控制体系及良好的售后服务能力，确保所供应物资符合国家相关法律法规及本方案规定的质量标准，保障业务正常开展。</w:t>
      </w:r>
    </w:p>
    <w:p w14:paraId="0AFDB3BB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beforeAutospacing="0" w:after="0" w:afterLines="0" w:afterAutospacing="0" w:line="520" w:lineRule="exact"/>
        <w:ind w:firstLine="643" w:firstLineChars="200"/>
        <w:textAlignment w:val="auto"/>
        <w:rPr>
          <w:rFonts w:hint="eastAsia"/>
          <w:b/>
          <w:lang w:val="en-US" w:eastAsia="zh-CN"/>
        </w:rPr>
      </w:pPr>
      <w:r>
        <w:rPr>
          <w:b/>
        </w:rPr>
        <w:t>二</w:t>
      </w:r>
      <w:r>
        <w:rPr>
          <w:rFonts w:hint="eastAsia"/>
          <w:b/>
          <w:lang w:val="en-US" w:eastAsia="zh-CN"/>
        </w:rPr>
        <w:t>、米面油类物资技术要求</w:t>
      </w:r>
    </w:p>
    <w:p w14:paraId="5DDC9D8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left="360" w:leftChars="0"/>
        <w:textAlignment w:val="auto"/>
        <w:rPr>
          <w:rFonts w:hint="eastAsia" w:ascii="楷体" w:hAnsi="楷体" w:eastAsia="楷体" w:cs="楷体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kern w:val="2"/>
          <w:sz w:val="30"/>
          <w:szCs w:val="30"/>
          <w:lang w:val="en-US" w:eastAsia="zh-CN" w:bidi="ar-SA"/>
        </w:rPr>
        <w:t>（一）大米</w:t>
      </w:r>
    </w:p>
    <w:p w14:paraId="54DE2D21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1、质量标准</w:t>
      </w:r>
      <w:r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  <w:t>：符合GB/T 1354-2022《大米》标准，其中粳米应达到一级或二级标准，籼米应达到一级标准。</w:t>
      </w:r>
    </w:p>
    <w:p w14:paraId="265DDD18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2、感官指标</w:t>
      </w:r>
      <w:r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  <w:t>：米粒饱满、均匀，色泽自然，无霉变、无异味、无杂质，蒸煮后口感松软、有米香。</w:t>
      </w:r>
    </w:p>
    <w:p w14:paraId="3AE52AF5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3、包装要求</w:t>
      </w:r>
      <w:r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  <w:t>：采用符合食品卫生标准的编织袋或纸袋包装，每袋重量为50kg，包装上需清晰标注产品名称、等级、净含量、生产日期、保质期、生产厂家、执行标准及QS/SC认证标志。</w:t>
      </w:r>
    </w:p>
    <w:p w14:paraId="011585AD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4、保质期</w:t>
      </w:r>
      <w:r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  <w:t>：自生产日期起不少于6个月。</w:t>
      </w:r>
    </w:p>
    <w:p w14:paraId="6AE8584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left="360" w:leftChars="0"/>
        <w:textAlignment w:val="auto"/>
        <w:rPr>
          <w:rFonts w:hint="eastAsia" w:ascii="楷体" w:hAnsi="楷体" w:eastAsia="楷体" w:cs="楷体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kern w:val="2"/>
          <w:sz w:val="30"/>
          <w:szCs w:val="30"/>
          <w:lang w:val="en-US" w:eastAsia="zh-CN" w:bidi="ar-SA"/>
        </w:rPr>
        <w:t>（二）面粉</w:t>
      </w:r>
    </w:p>
    <w:p w14:paraId="2BFD29A3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1、质量标准</w:t>
      </w:r>
      <w:r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  <w:t>：符合GB/T 1355-1986《小麦粉》标准，优先选用特制一等粉或特制二等粉。</w:t>
      </w:r>
    </w:p>
    <w:p w14:paraId="490F62D7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2、感官指标</w:t>
      </w:r>
      <w:r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  <w:t>：呈白色或微黄色，色泽均匀，无异味、无霉斑、无杂质，具有面粉固有的香味。</w:t>
      </w:r>
    </w:p>
    <w:p w14:paraId="0B5B7551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3、包装要求</w:t>
      </w:r>
      <w:r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  <w:t>：采用食品级塑料袋或纸袋包装，每袋重量为25kg，包装标识同大米要求。</w:t>
      </w:r>
    </w:p>
    <w:p w14:paraId="0C49DDCD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4、保质期</w:t>
      </w:r>
      <w:r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  <w:t>：自生产日期起不少于6个月。</w:t>
      </w:r>
    </w:p>
    <w:p w14:paraId="106ECC7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left="360" w:leftChars="0"/>
        <w:textAlignment w:val="auto"/>
        <w:rPr>
          <w:rFonts w:hint="eastAsia" w:ascii="楷体" w:hAnsi="楷体" w:eastAsia="楷体" w:cs="楷体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kern w:val="2"/>
          <w:sz w:val="30"/>
          <w:szCs w:val="30"/>
          <w:lang w:val="en-US" w:eastAsia="zh-CN" w:bidi="ar-SA"/>
        </w:rPr>
        <w:t>（三）食用油</w:t>
      </w:r>
    </w:p>
    <w:p w14:paraId="5D99BCE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1、质量标准</w:t>
      </w:r>
      <w:r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  <w:t>：符合相应品种的国家标准，如大豆油符合GB 1535-2017《大豆油》、菜籽油符合GB 1536-2021《菜籽油》、花生油符合GB/T 1534-2017《花生油》等，且应为精炼一级或二级油。</w:t>
      </w:r>
    </w:p>
    <w:p w14:paraId="1FA25613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2、感官指标</w:t>
      </w:r>
      <w:r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  <w:t>：澄清透明，无悬浮物、无沉淀，具有该品种食用油固有的色泽和香味，无异味。</w:t>
      </w:r>
    </w:p>
    <w:p w14:paraId="50DC102C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3、包装要求</w:t>
      </w:r>
      <w:r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  <w:t>：采用食品级塑料桶或铁桶包装，每桶容量为5L，包装标识同大米要求，且需标注储存条件。</w:t>
      </w:r>
    </w:p>
    <w:p w14:paraId="3E9DA283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4、保质期</w:t>
      </w:r>
      <w:r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  <w:t>：自生产日期起不少于12个月。</w:t>
      </w:r>
    </w:p>
    <w:p w14:paraId="47E8FE6A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beforeAutospacing="0" w:after="0" w:afterLines="0" w:afterAutospacing="0" w:line="520" w:lineRule="exact"/>
        <w:ind w:firstLine="643" w:firstLineChars="200"/>
        <w:textAlignment w:val="auto"/>
        <w:rPr>
          <w:rFonts w:hint="eastAsia"/>
          <w:b/>
          <w:lang w:val="en-US" w:eastAsia="zh-CN"/>
        </w:rPr>
      </w:pPr>
      <w:r>
        <w:rPr>
          <w:rFonts w:hint="eastAsia"/>
          <w:b/>
          <w:lang w:val="en-US" w:eastAsia="zh-CN"/>
        </w:rPr>
        <w:t>三、其他类物资技术要求</w:t>
      </w:r>
    </w:p>
    <w:p w14:paraId="44DE6D4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（一）基础调味品</w:t>
      </w:r>
    </w:p>
    <w:p w14:paraId="4BF56301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1、食盐：</w:t>
      </w:r>
      <w:r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  <w:t>GB 2721《食用盐》精制碘盐，碘含量20-30mg/kg</w:t>
      </w:r>
    </w:p>
    <w:p w14:paraId="10637559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2、食糖：</w:t>
      </w:r>
      <w:r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  <w:t>GB/T 317《白砂糖》一级标准，蔗糖含量≥99.5%</w:t>
      </w:r>
    </w:p>
    <w:p w14:paraId="1FD3D07F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3、酱油：</w:t>
      </w:r>
      <w:r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  <w:t>GB 2717《酱油》酿造酱油，氨基酸态氮≥0.8g/100ml</w:t>
      </w:r>
    </w:p>
    <w:p w14:paraId="5FDBFA12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4、食醋：</w:t>
      </w:r>
      <w:r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  <w:t>GB 2719《食醋》酿造食醋，总酸≥3.5g/100ml</w:t>
      </w:r>
    </w:p>
    <w:p w14:paraId="1910714B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5、味精：</w:t>
      </w:r>
      <w:r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  <w:t>GB 2720《味精》，谷氨酸钠含量≥99%</w:t>
      </w:r>
    </w:p>
    <w:p w14:paraId="7B347202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（二）香辛料</w:t>
      </w:r>
    </w:p>
    <w:p w14:paraId="7A040F77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0" w:firstLineChars="200"/>
        <w:textAlignment w:val="auto"/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  <w:t>1、花椒、八角、干辣椒等需符合GB/T 15691《香辛料调味品通用技术条件》</w:t>
      </w:r>
    </w:p>
    <w:p w14:paraId="6FB0F967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0" w:firstLineChars="200"/>
        <w:textAlignment w:val="auto"/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  <w:t>2、无霉变、无虫蛀、杂质≤2%</w:t>
      </w:r>
    </w:p>
    <w:p w14:paraId="0B98B589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0" w:firstLineChars="200"/>
        <w:textAlignment w:val="auto"/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  <w:t>3、包装：干燥密封包装</w:t>
      </w:r>
    </w:p>
    <w:p w14:paraId="3762538C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kern w:val="2"/>
          <w:sz w:val="30"/>
          <w:szCs w:val="30"/>
          <w:lang w:val="en-US" w:eastAsia="zh-CN" w:bidi="ar-SA"/>
        </w:rPr>
        <w:t>（三）</w:t>
      </w: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食用盐</w:t>
      </w:r>
    </w:p>
    <w:p w14:paraId="3033541F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1、质量标准</w:t>
      </w:r>
      <w:r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  <w:t>：符合GB 2721-2015《食品安全国家标准 食用盐》标准，选用加碘精制盐。</w:t>
      </w:r>
    </w:p>
    <w:p w14:paraId="40218671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2、感官指标</w:t>
      </w:r>
      <w:r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  <w:t>：白色晶体，无异味、无可见杂质，具有盐的咸味。</w:t>
      </w:r>
    </w:p>
    <w:p w14:paraId="5734FEB7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3、包装要求</w:t>
      </w:r>
      <w:r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  <w:t>：采用符合食品卫生标准的塑料袋包装，每袋重量为500g或1kg，包装上需标注产品名称、净含量、生产日期、保质期、生产厂家、执行标准及碘含量标识。</w:t>
      </w:r>
    </w:p>
    <w:p w14:paraId="1EC9BE21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4、保质期</w:t>
      </w:r>
      <w:r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  <w:t>：自生产日期起不少于18个月。</w:t>
      </w:r>
    </w:p>
    <w:p w14:paraId="3512BE60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left="360" w:leftChars="0"/>
        <w:textAlignment w:val="auto"/>
        <w:rPr>
          <w:rFonts w:hint="eastAsia" w:ascii="楷体" w:hAnsi="楷体" w:eastAsia="楷体" w:cs="楷体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kern w:val="2"/>
          <w:sz w:val="30"/>
          <w:szCs w:val="30"/>
          <w:lang w:val="en-US" w:eastAsia="zh-CN" w:bidi="ar-SA"/>
        </w:rPr>
        <w:t>（四）酱油</w:t>
      </w:r>
    </w:p>
    <w:p w14:paraId="266A1A40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1、质量标准</w:t>
      </w:r>
      <w:r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  <w:t>：符合GB 2717-2018《食品安全国家标准 酱油》标准，选用酿造酱油。</w:t>
      </w:r>
    </w:p>
    <w:p w14:paraId="10ED2177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2、感官指标</w:t>
      </w:r>
      <w:r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  <w:t>：呈红褐色或棕褐色，有光泽，具有酱油特有的酱香和酯香，滋味鲜美、醇厚，无异味，体态澄清，无悬浮物和沉淀。</w:t>
      </w:r>
    </w:p>
    <w:p w14:paraId="032489A6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3、包装要求</w:t>
      </w:r>
      <w:r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  <w:t>：采用玻璃瓶或塑料瓶包装，瓶口密封良好，容量规格为500mL、1L或2.5L，包装上需标注产品名称、等级、净含量、生产日期、保质期、生产厂家、执行标准、QS/SC认证标志及“酿造酱油”字样。</w:t>
      </w:r>
    </w:p>
    <w:p w14:paraId="5F1FD361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4、保质期</w:t>
      </w:r>
      <w:r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  <w:t>：瓶装酱油保质期不少于12个月。</w:t>
      </w:r>
    </w:p>
    <w:p w14:paraId="1E6CDE34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left="360" w:leftChars="0"/>
        <w:textAlignment w:val="auto"/>
        <w:rPr>
          <w:rFonts w:hint="eastAsia" w:ascii="楷体" w:hAnsi="楷体" w:eastAsia="楷体" w:cs="楷体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kern w:val="2"/>
          <w:sz w:val="30"/>
          <w:szCs w:val="30"/>
          <w:lang w:val="en-US" w:eastAsia="zh-CN" w:bidi="ar-SA"/>
        </w:rPr>
        <w:t>（五）醋</w:t>
      </w:r>
    </w:p>
    <w:p w14:paraId="4233781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1、质量标准</w:t>
      </w:r>
      <w:r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  <w:t>：符合GB 2719-2018《食品安全国家标准 食醋》标准，选用酿造食醋。</w:t>
      </w:r>
    </w:p>
    <w:p w14:paraId="3B444B28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2、感官指标</w:t>
      </w:r>
      <w:r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  <w:t>：呈琥珀色或红棕色，有光泽，具有食醋特有的香气和酸味，无异味，体态澄清，无悬浮物和沉淀。</w:t>
      </w:r>
    </w:p>
    <w:p w14:paraId="1B14AC4C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3、保质期：</w:t>
      </w:r>
      <w:r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  <w:t>瓶装醋保质期不少于12个月。</w:t>
      </w:r>
    </w:p>
    <w:p w14:paraId="358DE9D5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301" w:firstLineChars="100"/>
        <w:textAlignment w:val="auto"/>
        <w:rPr>
          <w:rFonts w:hint="default" w:ascii="楷体" w:hAnsi="楷体" w:eastAsia="楷体" w:cs="楷体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kern w:val="2"/>
          <w:sz w:val="30"/>
          <w:szCs w:val="30"/>
          <w:lang w:val="en-US" w:eastAsia="zh-CN" w:bidi="ar-SA"/>
        </w:rPr>
        <w:t>（六）奶</w:t>
      </w:r>
    </w:p>
    <w:p w14:paraId="42C88E0B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0" w:firstLineChars="200"/>
        <w:textAlignment w:val="auto"/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  <w:t>执行标准：GB 19645《食品安全国家标准 巴氏杀菌乳》或GB 25190《灭菌乳》</w:t>
      </w:r>
    </w:p>
    <w:p w14:paraId="4899D74D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0" w:firstLineChars="200"/>
        <w:textAlignment w:val="auto"/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  <w:t>· 蛋白质含量：≥3.0g/100ml</w:t>
      </w:r>
    </w:p>
    <w:p w14:paraId="000E6613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0" w:firstLineChars="200"/>
        <w:textAlignment w:val="auto"/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  <w:t>· 脂肪含量：≥3.5g/100ml</w:t>
      </w:r>
    </w:p>
    <w:p w14:paraId="1FAA1759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0" w:firstLineChars="200"/>
        <w:textAlignment w:val="auto"/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  <w:t>· 包装：无菌砖包装或巴氏消毒屋型包装</w:t>
      </w:r>
    </w:p>
    <w:p w14:paraId="2080393C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0" w:firstLineChars="200"/>
        <w:textAlignment w:val="auto"/>
        <w:rPr>
          <w:rFonts w:hint="eastAsia" w:ascii="楷体" w:hAnsi="楷体" w:eastAsia="楷体" w:cs="楷体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  <w:t>· 冷藏产品需全程冷链运输</w:t>
      </w:r>
    </w:p>
    <w:p w14:paraId="77EFE907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beforeAutospacing="0" w:after="0" w:afterLines="0" w:afterAutospacing="0" w:line="520" w:lineRule="exact"/>
        <w:ind w:firstLine="643" w:firstLineChars="200"/>
        <w:textAlignment w:val="auto"/>
        <w:rPr>
          <w:rFonts w:hint="eastAsia"/>
          <w:b/>
          <w:lang w:val="en-US" w:eastAsia="zh-CN"/>
        </w:rPr>
      </w:pPr>
      <w:r>
        <w:rPr>
          <w:rFonts w:hint="eastAsia"/>
          <w:b/>
          <w:lang w:val="en-US" w:eastAsia="zh-CN"/>
        </w:rPr>
        <w:t>四、供应保障及服务要求</w:t>
      </w:r>
    </w:p>
    <w:p w14:paraId="24817F3D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1、供货能力</w:t>
      </w:r>
      <w:r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  <w:t>：投标人需具备每日供应各类物资的稳定能力，能满足高峰期的物资需求，如遇特殊情况（如节假日、突发事件）需提前备货，保障供应不中断。</w:t>
      </w:r>
    </w:p>
    <w:p w14:paraId="40FA48CB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2、付款方式、配送要求</w:t>
      </w:r>
      <w:r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  <w:t>：</w:t>
      </w: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本次采购签订长期供货协议，协议有效期暂定为一年，按照实际供货量，开具相应的合格发票交予采购人挂账，挂账后分期付款（一年内付清）。</w:t>
      </w:r>
      <w:r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  <w:t>确保运输过程中的蔬菜、干货等需采取防雨、防晒措施。配送频率为每日一次，具体配送时间根据需求协商确定，确保物资按时送达指定地点。</w:t>
      </w:r>
    </w:p>
    <w:p w14:paraId="254F1F31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3、质量检测</w:t>
      </w:r>
      <w:r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  <w:t>：投标人需提供每批次物资的质量检验报告，如大米、面粉、食用油等需提供出厂检验报告，招标人有权对到货物资进行抽样送检，检测费用由投标人承担，如检测不合格，招标人有权拒收该批次物资并要求投标人赔偿损失。</w:t>
      </w:r>
    </w:p>
    <w:p w14:paraId="341E36D3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4、退换货服务</w:t>
      </w:r>
      <w:r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  <w:t>：对不符合质量要求的物资，投标人需在接到通知后24小时内负责退换货，并承担由此产生的费用。</w:t>
      </w:r>
    </w:p>
    <w:p w14:paraId="67B64062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5、应急响应</w:t>
      </w:r>
      <w:r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  <w:t>：建立应急响应机制，对物资供应过程中出现的问题（如短缺、质量问题等）需在2小时内响应，4小时内提出解决方案，24小时内解决问题。</w:t>
      </w:r>
    </w:p>
    <w:p w14:paraId="7481B70E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6、信息沟通</w:t>
      </w:r>
      <w:r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  <w:t>：指定专人负责与招标人进行日常沟通，每周提交物资供应计划表，每月提交物资质量总结报告。</w:t>
      </w:r>
    </w:p>
    <w:p w14:paraId="41C9AE32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beforeAutospacing="0" w:after="0" w:afterLines="0" w:afterAutospacing="0" w:line="520" w:lineRule="exact"/>
        <w:ind w:firstLine="643" w:firstLineChars="200"/>
        <w:textAlignment w:val="auto"/>
        <w:rPr>
          <w:rFonts w:hint="eastAsia"/>
          <w:b/>
          <w:lang w:val="en-US" w:eastAsia="zh-CN"/>
        </w:rPr>
      </w:pPr>
      <w:r>
        <w:rPr>
          <w:rFonts w:hint="eastAsia"/>
          <w:b/>
          <w:lang w:val="en-US" w:eastAsia="zh-CN"/>
        </w:rPr>
        <w:t>五、验收标准</w:t>
      </w:r>
    </w:p>
    <w:p w14:paraId="06002394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left="0" w:leftChars="0" w:firstLine="663" w:firstLineChars="220"/>
        <w:textAlignment w:val="auto"/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1、外观验收：</w:t>
      </w:r>
      <w:r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  <w:t>检查物资的包装是否完好，标识是否清晰、齐全，物资是否有霉变、腐烂、虫蛀、异味等现象。</w:t>
      </w:r>
    </w:p>
    <w:p w14:paraId="2C06D50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2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2、感官验收</w:t>
      </w:r>
      <w:r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  <w:t>：通过目测、鼻闻、口尝（必要时）等方式检查物资的色泽、气味、口感等是否符合本方案要求。</w:t>
      </w:r>
    </w:p>
    <w:p w14:paraId="2163DF65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0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3、数量验收</w:t>
      </w:r>
      <w:r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  <w:t>：核对物资的实际数量与送货单是否一致。</w:t>
      </w:r>
    </w:p>
    <w:p w14:paraId="496D0395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0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4、文件验收</w:t>
      </w:r>
      <w:r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  <w:t>：检查是否提供了相应的质量检验报告、检疫证明等文件。</w:t>
      </w:r>
    </w:p>
    <w:p w14:paraId="628162DB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00" w:lineRule="exact"/>
        <w:ind w:firstLine="602" w:firstLineChars="200"/>
        <w:textAlignment w:val="auto"/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5、抽样检测</w:t>
      </w:r>
      <w:r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  <w:t>：对重点物资（如蔬菜、食用油等）进行抽样送检，检测项目包括感官指标、理化指标、微生物指标等，检测结果需符合本方案及国家相关标准要求。</w:t>
      </w:r>
    </w:p>
    <w:p w14:paraId="2A8F743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00" w:lineRule="exact"/>
        <w:ind w:firstLine="600" w:firstLineChars="200"/>
        <w:textAlignment w:val="auto"/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kern w:val="2"/>
          <w:sz w:val="30"/>
          <w:szCs w:val="30"/>
          <w:lang w:val="en-US" w:eastAsia="zh-CN" w:bidi="ar-SA"/>
        </w:rPr>
        <w:t>以上技术方案作为本次招标的重要依据，投标人需严格遵守，确保所供应物资的质量和服务满足要求。</w:t>
      </w:r>
    </w:p>
    <w:p w14:paraId="37C8CFDE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beforeAutospacing="0" w:after="0" w:afterLines="0" w:afterAutospacing="0" w:line="500" w:lineRule="exact"/>
        <w:ind w:firstLine="643" w:firstLineChars="200"/>
        <w:textAlignment w:val="auto"/>
        <w:rPr>
          <w:rFonts w:hint="eastAsia" w:ascii="宋体" w:hAnsi="宋体" w:eastAsia="宋体"/>
          <w:b/>
          <w:sz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ECE017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0B7E976">
                          <w:pPr>
                            <w:pStyle w:val="5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0B7E976">
                    <w:pPr>
                      <w:pStyle w:val="5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F92"/>
    <w:rsid w:val="00007A38"/>
    <w:rsid w:val="000618E2"/>
    <w:rsid w:val="00094001"/>
    <w:rsid w:val="00094DD4"/>
    <w:rsid w:val="000D3CC6"/>
    <w:rsid w:val="000E1EA9"/>
    <w:rsid w:val="001128EB"/>
    <w:rsid w:val="00122AF2"/>
    <w:rsid w:val="00164D8C"/>
    <w:rsid w:val="001824D0"/>
    <w:rsid w:val="001C7D8E"/>
    <w:rsid w:val="001E7D47"/>
    <w:rsid w:val="00204B11"/>
    <w:rsid w:val="00204D41"/>
    <w:rsid w:val="00263C2D"/>
    <w:rsid w:val="00284B21"/>
    <w:rsid w:val="00293FA5"/>
    <w:rsid w:val="002960A8"/>
    <w:rsid w:val="002F31AB"/>
    <w:rsid w:val="00390E7D"/>
    <w:rsid w:val="003E16B1"/>
    <w:rsid w:val="003F2740"/>
    <w:rsid w:val="00403535"/>
    <w:rsid w:val="00404969"/>
    <w:rsid w:val="00433685"/>
    <w:rsid w:val="00470CE3"/>
    <w:rsid w:val="004F7527"/>
    <w:rsid w:val="005137D7"/>
    <w:rsid w:val="00546AD7"/>
    <w:rsid w:val="00554218"/>
    <w:rsid w:val="005B404D"/>
    <w:rsid w:val="005D1BE0"/>
    <w:rsid w:val="006014E1"/>
    <w:rsid w:val="0063717F"/>
    <w:rsid w:val="006506EF"/>
    <w:rsid w:val="006565B0"/>
    <w:rsid w:val="00676D0F"/>
    <w:rsid w:val="00687F7D"/>
    <w:rsid w:val="006B75A3"/>
    <w:rsid w:val="006D04B3"/>
    <w:rsid w:val="006D5DCB"/>
    <w:rsid w:val="00762A97"/>
    <w:rsid w:val="00773357"/>
    <w:rsid w:val="00774D44"/>
    <w:rsid w:val="007F38F5"/>
    <w:rsid w:val="008616E0"/>
    <w:rsid w:val="00882DB8"/>
    <w:rsid w:val="00891392"/>
    <w:rsid w:val="008A50FB"/>
    <w:rsid w:val="008B66F5"/>
    <w:rsid w:val="008E513D"/>
    <w:rsid w:val="00932707"/>
    <w:rsid w:val="009363F2"/>
    <w:rsid w:val="00941A1D"/>
    <w:rsid w:val="009C7D8E"/>
    <w:rsid w:val="009E259F"/>
    <w:rsid w:val="009F0ABA"/>
    <w:rsid w:val="00A02ADB"/>
    <w:rsid w:val="00A0784E"/>
    <w:rsid w:val="00A234F5"/>
    <w:rsid w:val="00A25BE3"/>
    <w:rsid w:val="00A32273"/>
    <w:rsid w:val="00A6113C"/>
    <w:rsid w:val="00A7494C"/>
    <w:rsid w:val="00A75DB3"/>
    <w:rsid w:val="00AA453D"/>
    <w:rsid w:val="00AC574D"/>
    <w:rsid w:val="00AC6272"/>
    <w:rsid w:val="00B2238D"/>
    <w:rsid w:val="00B572DB"/>
    <w:rsid w:val="00B84834"/>
    <w:rsid w:val="00BA2C50"/>
    <w:rsid w:val="00BA6237"/>
    <w:rsid w:val="00BC5FB6"/>
    <w:rsid w:val="00BD03A8"/>
    <w:rsid w:val="00BD7961"/>
    <w:rsid w:val="00BE6A42"/>
    <w:rsid w:val="00C108DE"/>
    <w:rsid w:val="00C21AB6"/>
    <w:rsid w:val="00C26A03"/>
    <w:rsid w:val="00C44D9C"/>
    <w:rsid w:val="00C62FD7"/>
    <w:rsid w:val="00C700B6"/>
    <w:rsid w:val="00C84A9E"/>
    <w:rsid w:val="00C97354"/>
    <w:rsid w:val="00C97671"/>
    <w:rsid w:val="00CA2FBD"/>
    <w:rsid w:val="00CB0EB0"/>
    <w:rsid w:val="00D05B35"/>
    <w:rsid w:val="00D36681"/>
    <w:rsid w:val="00D54A5C"/>
    <w:rsid w:val="00D56F92"/>
    <w:rsid w:val="00D71403"/>
    <w:rsid w:val="00D77CFE"/>
    <w:rsid w:val="00DF259B"/>
    <w:rsid w:val="00DF3C06"/>
    <w:rsid w:val="00E56DC9"/>
    <w:rsid w:val="00E6646F"/>
    <w:rsid w:val="00E72F66"/>
    <w:rsid w:val="00E73DF7"/>
    <w:rsid w:val="00F006AA"/>
    <w:rsid w:val="00F0388E"/>
    <w:rsid w:val="00F60CE2"/>
    <w:rsid w:val="00F92781"/>
    <w:rsid w:val="00FE6D18"/>
    <w:rsid w:val="00FE7050"/>
    <w:rsid w:val="01203FAE"/>
    <w:rsid w:val="01610122"/>
    <w:rsid w:val="02D2752A"/>
    <w:rsid w:val="032B09E8"/>
    <w:rsid w:val="03AF1C52"/>
    <w:rsid w:val="047A1C27"/>
    <w:rsid w:val="07B14144"/>
    <w:rsid w:val="089963F4"/>
    <w:rsid w:val="093F0D49"/>
    <w:rsid w:val="098F5CBA"/>
    <w:rsid w:val="09D5113E"/>
    <w:rsid w:val="0B835865"/>
    <w:rsid w:val="0C2A5CE1"/>
    <w:rsid w:val="0C2B1A59"/>
    <w:rsid w:val="0C537EA0"/>
    <w:rsid w:val="0DE87C01"/>
    <w:rsid w:val="0E1A28BF"/>
    <w:rsid w:val="10B5728A"/>
    <w:rsid w:val="119D6F55"/>
    <w:rsid w:val="14A16D5C"/>
    <w:rsid w:val="16C15493"/>
    <w:rsid w:val="16F2389F"/>
    <w:rsid w:val="183D4FEE"/>
    <w:rsid w:val="185F4F64"/>
    <w:rsid w:val="187622AE"/>
    <w:rsid w:val="18E216F1"/>
    <w:rsid w:val="19DD25E4"/>
    <w:rsid w:val="1A46462D"/>
    <w:rsid w:val="1A6E5932"/>
    <w:rsid w:val="1A8011C2"/>
    <w:rsid w:val="1AE35CAA"/>
    <w:rsid w:val="1B397CEE"/>
    <w:rsid w:val="1B811695"/>
    <w:rsid w:val="1BA62EAA"/>
    <w:rsid w:val="1BC51582"/>
    <w:rsid w:val="1BF63E31"/>
    <w:rsid w:val="1C8036FB"/>
    <w:rsid w:val="1CBD494F"/>
    <w:rsid w:val="1CFD458E"/>
    <w:rsid w:val="1D0B0A82"/>
    <w:rsid w:val="1E283BB7"/>
    <w:rsid w:val="1E6E5F01"/>
    <w:rsid w:val="1EF574D5"/>
    <w:rsid w:val="1F460C2C"/>
    <w:rsid w:val="1F62533A"/>
    <w:rsid w:val="1FD06747"/>
    <w:rsid w:val="20D91B99"/>
    <w:rsid w:val="24957DD5"/>
    <w:rsid w:val="256040C9"/>
    <w:rsid w:val="25A16BBC"/>
    <w:rsid w:val="25EE7927"/>
    <w:rsid w:val="27A42993"/>
    <w:rsid w:val="290D6316"/>
    <w:rsid w:val="2920273E"/>
    <w:rsid w:val="298B3E14"/>
    <w:rsid w:val="2ABB0720"/>
    <w:rsid w:val="2B33475A"/>
    <w:rsid w:val="2B3C1135"/>
    <w:rsid w:val="2DB80F46"/>
    <w:rsid w:val="2EA94D33"/>
    <w:rsid w:val="2F715851"/>
    <w:rsid w:val="330C763F"/>
    <w:rsid w:val="355F614C"/>
    <w:rsid w:val="35D2691D"/>
    <w:rsid w:val="36266C69"/>
    <w:rsid w:val="36342AA6"/>
    <w:rsid w:val="37024FE0"/>
    <w:rsid w:val="3A9E7716"/>
    <w:rsid w:val="3B44206B"/>
    <w:rsid w:val="3B936B4F"/>
    <w:rsid w:val="3BB6283D"/>
    <w:rsid w:val="3BD77022"/>
    <w:rsid w:val="3D3E0D3C"/>
    <w:rsid w:val="3D65276D"/>
    <w:rsid w:val="3E4E4FAF"/>
    <w:rsid w:val="3E501D86"/>
    <w:rsid w:val="3F9F2443"/>
    <w:rsid w:val="41C51A2C"/>
    <w:rsid w:val="42876CE2"/>
    <w:rsid w:val="428E1E1E"/>
    <w:rsid w:val="446C43E1"/>
    <w:rsid w:val="44DD6689"/>
    <w:rsid w:val="45506B85"/>
    <w:rsid w:val="475A2C17"/>
    <w:rsid w:val="48837E5F"/>
    <w:rsid w:val="48E42BE1"/>
    <w:rsid w:val="4901159C"/>
    <w:rsid w:val="4A3634C7"/>
    <w:rsid w:val="4A4F27DB"/>
    <w:rsid w:val="4AF33166"/>
    <w:rsid w:val="4C147838"/>
    <w:rsid w:val="4D8E53C8"/>
    <w:rsid w:val="4E822ABD"/>
    <w:rsid w:val="512B0198"/>
    <w:rsid w:val="52B811CF"/>
    <w:rsid w:val="53780202"/>
    <w:rsid w:val="539354E6"/>
    <w:rsid w:val="53B042EA"/>
    <w:rsid w:val="56F50266"/>
    <w:rsid w:val="57711FE2"/>
    <w:rsid w:val="58FE78A6"/>
    <w:rsid w:val="5A6C4CE3"/>
    <w:rsid w:val="5A8F55DA"/>
    <w:rsid w:val="5AFA5E4B"/>
    <w:rsid w:val="5BAB5397"/>
    <w:rsid w:val="5C4557EC"/>
    <w:rsid w:val="5D6121B1"/>
    <w:rsid w:val="5D924A61"/>
    <w:rsid w:val="5DBE5856"/>
    <w:rsid w:val="5F1C6CD8"/>
    <w:rsid w:val="5F322057"/>
    <w:rsid w:val="5FA665A1"/>
    <w:rsid w:val="5FE5356E"/>
    <w:rsid w:val="609E371C"/>
    <w:rsid w:val="6131633F"/>
    <w:rsid w:val="61377DF9"/>
    <w:rsid w:val="61A82AA5"/>
    <w:rsid w:val="62363EEA"/>
    <w:rsid w:val="62B611F1"/>
    <w:rsid w:val="62E55633"/>
    <w:rsid w:val="64BC01A3"/>
    <w:rsid w:val="662446C4"/>
    <w:rsid w:val="66344907"/>
    <w:rsid w:val="683F4BBF"/>
    <w:rsid w:val="6852376A"/>
    <w:rsid w:val="69AF24F6"/>
    <w:rsid w:val="69FF522C"/>
    <w:rsid w:val="6A0D5B9B"/>
    <w:rsid w:val="6CA420BB"/>
    <w:rsid w:val="6D965EA7"/>
    <w:rsid w:val="6ED6132F"/>
    <w:rsid w:val="6F8511F0"/>
    <w:rsid w:val="72556331"/>
    <w:rsid w:val="753D433F"/>
    <w:rsid w:val="759A04FF"/>
    <w:rsid w:val="7657019E"/>
    <w:rsid w:val="768F7938"/>
    <w:rsid w:val="76B37ACA"/>
    <w:rsid w:val="76C571AA"/>
    <w:rsid w:val="77CD6969"/>
    <w:rsid w:val="788D434B"/>
    <w:rsid w:val="79F503F9"/>
    <w:rsid w:val="7A115822"/>
    <w:rsid w:val="7A992B33"/>
    <w:rsid w:val="7D5A0C9F"/>
    <w:rsid w:val="7DBB54B6"/>
    <w:rsid w:val="7E77762F"/>
    <w:rsid w:val="7EAD7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after="120" w:afterLines="0"/>
    </w:p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10">
    <w:name w:val="Heading2"/>
    <w:basedOn w:val="1"/>
    <w:next w:val="1"/>
    <w:qFormat/>
    <w:uiPriority w:val="0"/>
    <w:pPr>
      <w:keepNext/>
      <w:keepLines/>
      <w:spacing w:before="260" w:after="260" w:line="416" w:lineRule="auto"/>
      <w:jc w:val="both"/>
    </w:pPr>
    <w:rPr>
      <w:rFonts w:ascii="Arial" w:hAnsi="Arial" w:eastAsia="黑体" w:cs="Times New Roman"/>
      <w:b/>
      <w:bCs/>
      <w:kern w:val="2"/>
      <w:sz w:val="32"/>
      <w:szCs w:val="32"/>
      <w:lang w:val="en-US" w:eastAsia="zh-CN" w:bidi="ar-SA"/>
    </w:rPr>
  </w:style>
  <w:style w:type="character" w:customStyle="1" w:styleId="11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2272</Words>
  <Characters>2474</Characters>
  <Lines>9</Lines>
  <Paragraphs>2</Paragraphs>
  <TotalTime>8</TotalTime>
  <ScaleCrop>false</ScaleCrop>
  <LinksUpToDate>false</LinksUpToDate>
  <CharactersWithSpaces>2534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2025-07-02T07:48:00Z</dcterms:created>
  <dc:creator>LH</dc:creator>
  <cp:lastModifiedBy>Administrator</cp:lastModifiedBy>
  <cp:lastPrinted>2025-12-08T06:57:00Z</cp:lastPrinted>
  <dcterms:modified xsi:type="dcterms:W3CDTF">2026-10-13T00:46:38Z</dcterms:modified>
  <cp:revision>182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eyJoZGlkIjoiMjJlOTRjYWViZjU5YjkwYmVkMmQwNWEzZjE2N2JiZjEiLCJ1c2VySWQiOiIzOTM3OTY4ODEifQ==</vt:lpwstr>
  </property>
  <property fmtid="{D5CDD505-2E9C-101B-9397-08002B2CF9AE}" pid="3" name="KSOProductBuildVer">
    <vt:lpwstr>2052-12.1.0.28505</vt:lpwstr>
  </property>
  <property fmtid="{D5CDD505-2E9C-101B-9397-08002B2CF9AE}" pid="4" name="ICV">
    <vt:lpwstr>833944C9AE554E079FDAA2613393E2C5_13</vt:lpwstr>
  </property>
</Properties>
</file>