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5291" w14:textId="2C9F3164" w:rsidR="00BD4A0A" w:rsidRDefault="00B16DCF" w:rsidP="00B1514A">
      <w:pPr>
        <w:spacing w:line="520" w:lineRule="exact"/>
        <w:jc w:val="center"/>
        <w:rPr>
          <w:rFonts w:ascii="宋体" w:hAnsi="宋体" w:hint="eastAsia"/>
          <w:b/>
          <w:sz w:val="36"/>
          <w:szCs w:val="36"/>
        </w:rPr>
      </w:pPr>
      <w:r w:rsidRPr="002F5184">
        <w:rPr>
          <w:rFonts w:ascii="宋体" w:hAnsi="宋体"/>
          <w:b/>
          <w:sz w:val="36"/>
          <w:szCs w:val="36"/>
        </w:rPr>
        <w:t>顺和煤矿</w:t>
      </w:r>
      <w:r w:rsidR="00A5357D" w:rsidRPr="00A5357D">
        <w:rPr>
          <w:rFonts w:ascii="宋体" w:hAnsi="宋体" w:hint="eastAsia"/>
          <w:b/>
          <w:sz w:val="36"/>
          <w:szCs w:val="36"/>
        </w:rPr>
        <w:t>视频双机热备软件</w:t>
      </w:r>
      <w:r w:rsidRPr="002F5184">
        <w:rPr>
          <w:rFonts w:ascii="宋体" w:hAnsi="宋体"/>
          <w:b/>
          <w:sz w:val="36"/>
          <w:szCs w:val="36"/>
        </w:rPr>
        <w:t>项目技术规范书</w:t>
      </w:r>
    </w:p>
    <w:p w14:paraId="222DEB15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一、项目简介及使用地点</w:t>
      </w:r>
    </w:p>
    <w:p w14:paraId="297F699E" w14:textId="77777777" w:rsidR="000730FC" w:rsidRPr="000730FC" w:rsidRDefault="000730FC" w:rsidP="000730FC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0730FC">
        <w:rPr>
          <w:rFonts w:ascii="仿宋_GB2312" w:eastAsia="仿宋_GB2312" w:hAnsi="宋体" w:hint="eastAsia"/>
          <w:color w:val="000000"/>
          <w:sz w:val="24"/>
        </w:rPr>
        <w:t>依据 2025 版《煤矿安全规程》2026版《煤矿重大事故隐患判定标准》相关规定，矿井视频监控系统需实现 7×24 小时不间断稳定运行。顺和煤矿现有工业视频监控平台采用海康威视综合安防管理平台 V1.7 版，当前为单机独立运行模式，无冗余备份机制。一旦服务器出现网络中断、机房断电、硬件损坏、操作系统崩溃等故障，会直接造成前端摄像头、井下分站、调度大屏、上级监管平台视频画面中断、录像丢失，无法满足安全生产实时监控、事故溯源、应急调度等工作需求。</w:t>
      </w:r>
    </w:p>
    <w:p w14:paraId="56A03B40" w14:textId="281DC661" w:rsidR="00BD4A0A" w:rsidRPr="003C6FB9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永煤公司顺和煤矿</w:t>
      </w:r>
    </w:p>
    <w:p w14:paraId="5C0DF00C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二、货物名称及供货范围</w:t>
      </w:r>
    </w:p>
    <w:tbl>
      <w:tblPr>
        <w:tblW w:w="823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8"/>
        <w:gridCol w:w="2374"/>
        <w:gridCol w:w="1985"/>
        <w:gridCol w:w="850"/>
        <w:gridCol w:w="851"/>
        <w:gridCol w:w="1559"/>
      </w:tblGrid>
      <w:tr w:rsidR="003C6FB9" w14:paraId="4FDCC3EC" w14:textId="77777777" w:rsidTr="003D2EC5">
        <w:trPr>
          <w:trHeight w:val="8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EB76C2" w14:textId="77777777" w:rsidR="003C6FB9" w:rsidRDefault="003C6FB9" w:rsidP="003D2EC5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37C72A" w14:textId="77777777" w:rsidR="003C6FB9" w:rsidRDefault="003C6FB9" w:rsidP="003D2EC5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产品名称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E09C88" w14:textId="77777777" w:rsidR="003C6FB9" w:rsidRDefault="003C6FB9" w:rsidP="003D2EC5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规格型号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E1D410" w14:textId="77777777" w:rsidR="003C6FB9" w:rsidRDefault="003C6FB9" w:rsidP="003D2EC5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914EAA" w14:textId="77777777" w:rsidR="003C6FB9" w:rsidRDefault="003C6FB9" w:rsidP="003D2EC5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数量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83BC54" w14:textId="77777777" w:rsidR="003C6FB9" w:rsidRDefault="003C6FB9" w:rsidP="003D2EC5">
            <w:pPr>
              <w:widowControl/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备注</w:t>
            </w:r>
          </w:p>
        </w:tc>
      </w:tr>
      <w:tr w:rsidR="003C6FB9" w:rsidRPr="004D1859" w14:paraId="62DAFA9B" w14:textId="77777777" w:rsidTr="003D2EC5">
        <w:trPr>
          <w:trHeight w:val="27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5513AB" w14:textId="77777777" w:rsidR="003C6FB9" w:rsidRDefault="003C6FB9" w:rsidP="003D2EC5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E06647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双机热备软件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C0A5DC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iOMS Ent-HAMANAGER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A7AA43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3B8ECE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E22CBC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3C6FB9" w:rsidRPr="004D1859" w14:paraId="2C398E79" w14:textId="77777777" w:rsidTr="003D2EC5">
        <w:trPr>
          <w:trHeight w:val="27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CCE76D" w14:textId="77777777" w:rsidR="003C6FB9" w:rsidRDefault="003C6FB9" w:rsidP="003D2EC5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D6EF48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  <w:r w:rsidRPr="00FB676E">
              <w:rPr>
                <w:rFonts w:ascii="宋体" w:hAnsi="宋体" w:cs="宋体" w:hint="eastAsia"/>
                <w:color w:val="000000"/>
                <w:sz w:val="20"/>
                <w:szCs w:val="20"/>
              </w:rPr>
              <w:t>平台管理服务器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A656D9" w14:textId="7FB29145" w:rsidR="003C6FB9" w:rsidRPr="004D1859" w:rsidRDefault="00A5357D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  <w:r w:rsidRPr="00A5357D">
              <w:rPr>
                <w:rFonts w:ascii="宋体" w:hAnsi="宋体" w:cs="宋体"/>
                <w:color w:val="000000"/>
                <w:sz w:val="20"/>
                <w:szCs w:val="20"/>
              </w:rPr>
              <w:t>DS-VM22R-CL/R2/PZ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5EBDCA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  <w:r w:rsidRPr="00FB676E">
              <w:rPr>
                <w:rFonts w:ascii="宋体" w:hAnsi="宋体" w:cs="宋体" w:hint="eastAsia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A3CB12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  <w:r w:rsidRPr="00FB676E">
              <w:rPr>
                <w:rFonts w:ascii="宋体" w:hAnsi="宋体" w:cs="宋体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B23F78" w14:textId="77777777" w:rsidR="003C6FB9" w:rsidRPr="004D1859" w:rsidRDefault="003C6FB9" w:rsidP="003D2EC5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</w:p>
        </w:tc>
      </w:tr>
      <w:tr w:rsidR="003C6FB9" w:rsidRPr="004D1859" w14:paraId="3819AC41" w14:textId="77777777" w:rsidTr="003D2EC5">
        <w:trPr>
          <w:trHeight w:val="270"/>
        </w:trPr>
        <w:tc>
          <w:tcPr>
            <w:tcW w:w="82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1B946B" w14:textId="77777777" w:rsidR="003C6FB9" w:rsidRPr="004D1859" w:rsidRDefault="003C6FB9" w:rsidP="003D2EC5">
            <w:pPr>
              <w:spacing w:line="480" w:lineRule="exact"/>
              <w:ind w:firstLineChars="200" w:firstLine="480"/>
              <w:rPr>
                <w:rFonts w:ascii="宋体" w:hAnsi="宋体" w:cs="宋体" w:hint="eastAsia"/>
                <w:sz w:val="22"/>
                <w:szCs w:val="22"/>
              </w:rPr>
            </w:pPr>
            <w:r w:rsidRPr="00D737E1">
              <w:rPr>
                <w:rFonts w:ascii="仿宋_GB2312" w:eastAsia="仿宋_GB2312" w:hAnsi="宋体" w:hint="eastAsia"/>
                <w:color w:val="000000"/>
                <w:sz w:val="24"/>
              </w:rPr>
              <w:t>注：</w:t>
            </w:r>
            <w:r>
              <w:rPr>
                <w:rFonts w:ascii="仿宋_GB2312" w:eastAsia="仿宋_GB2312" w:hAnsi="宋体" w:hint="eastAsia"/>
                <w:color w:val="000000"/>
                <w:sz w:val="24"/>
              </w:rPr>
              <w:t>矿井现使用</w:t>
            </w:r>
            <w:r w:rsidRPr="00D737E1">
              <w:rPr>
                <w:rFonts w:ascii="仿宋_GB2312" w:eastAsia="仿宋_GB2312" w:hAnsi="宋体" w:hint="eastAsia"/>
                <w:color w:val="000000"/>
                <w:sz w:val="24"/>
              </w:rPr>
              <w:t>平台为iSecure Center综合安防管理平台</w:t>
            </w:r>
            <w:r>
              <w:rPr>
                <w:rFonts w:ascii="仿宋_GB2312" w:eastAsia="仿宋_GB2312" w:hAnsi="宋体" w:hint="eastAsia"/>
                <w:color w:val="000000"/>
                <w:sz w:val="24"/>
              </w:rPr>
              <w:t>，服务器系统为</w:t>
            </w:r>
            <w:r w:rsidRPr="00D737E1">
              <w:rPr>
                <w:rFonts w:ascii="仿宋_GB2312" w:eastAsia="仿宋_GB2312" w:hAnsi="宋体"/>
                <w:color w:val="000000"/>
                <w:sz w:val="24"/>
              </w:rPr>
              <w:t>linux</w:t>
            </w:r>
            <w:r>
              <w:rPr>
                <w:rFonts w:ascii="仿宋_GB2312" w:eastAsia="仿宋_GB2312" w:hAnsi="宋体" w:hint="eastAsia"/>
                <w:color w:val="000000"/>
                <w:sz w:val="24"/>
              </w:rPr>
              <w:t xml:space="preserve"> 7系统，需支持现有设备接入。</w:t>
            </w:r>
          </w:p>
        </w:tc>
      </w:tr>
    </w:tbl>
    <w:p w14:paraId="3FE994A5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三、主要部件（或设备）配置要求</w:t>
      </w:r>
    </w:p>
    <w:p w14:paraId="4238AD91" w14:textId="77777777" w:rsidR="003C6FB9" w:rsidRDefault="003C6FB9" w:rsidP="003C6FB9">
      <w:pPr>
        <w:spacing w:line="480" w:lineRule="exact"/>
        <w:ind w:firstLineChars="200" w:firstLine="480"/>
        <w:rPr>
          <w:rFonts w:ascii="宋体" w:hAnsi="宋体" w:hint="eastAsia"/>
          <w:sz w:val="28"/>
          <w:szCs w:val="28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整体架构设计采用主备双机热备架构，两台服务器部署相同业务组件，包含监控管理、图像解码、录像存储、设备接入、平台上传五大核心业务模块。</w:t>
      </w:r>
    </w:p>
    <w:p w14:paraId="136761AE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正常运行模式：主机承担全部业务负载，备机处于同步待机状态，实时同步主机配置文件、设备台账、录像数据流、日志信息；</w:t>
      </w:r>
    </w:p>
    <w:p w14:paraId="001B0710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故障切换模式：热备管理软件实时检测主机运行状态，检测到主机失联 / 宕机后，自动在备机拉起全部业务，完成接管；</w:t>
      </w:r>
    </w:p>
    <w:p w14:paraId="27EAA2CB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数据同步机制：配套专用视频录像同步程序，保障录像文件、设备参数、用户权限双向实时同步，切换后无数据断层。。</w:t>
      </w:r>
    </w:p>
    <w:p w14:paraId="6F73FF24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配置同步：设备 IP、通道参数、用户权限、录像计划、大屏解码配置实时双向同步；</w:t>
      </w:r>
    </w:p>
    <w:p w14:paraId="500FF58C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lastRenderedPageBreak/>
        <w:t>录像同步：采用增量实时同步机制，主机产生的视频录像实时传输至备机存储，切换后录像可连续调取；</w:t>
      </w:r>
    </w:p>
    <w:p w14:paraId="0F4BE43D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日志同步：操作日志、设备告警、故障记录同步备份至备机，完整留存安全监管溯源资料。</w:t>
      </w:r>
    </w:p>
    <w:p w14:paraId="6D7FAC9C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4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授权与激活</w:t>
      </w:r>
    </w:p>
    <w:p w14:paraId="560DBC34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单套授权、单一激活码绑定双服务器硬件指纹，一套软件实现双机热备，无需两套授权，简化审批流程；</w:t>
      </w:r>
    </w:p>
    <w:p w14:paraId="67FA0781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激活永久有效，支持后期平台升级、补丁更新同步授权。</w:t>
      </w:r>
    </w:p>
    <w:p w14:paraId="7DFEE049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5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统一运维管理</w:t>
      </w:r>
    </w:p>
    <w:p w14:paraId="35EF5D76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双机热备环境中的安装/卸载/升级/回滚、安装/卸载补丁、安装资源包等运维行为只需在运管上操作，通过带入同步至备机，无需人工再在备机上处理一遍，大大降低操作复杂度。软件自带集群监控界面，能够实时监控主备服务器状态，并针对中间件的运行状态、数据同步等指标进行实时展现，能够直观掌握双机热备健康状态；</w:t>
      </w:r>
    </w:p>
    <w:p w14:paraId="3AE144F8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6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海康威视平台管理服务器；</w:t>
      </w:r>
    </w:p>
    <w:p w14:paraId="6F1FB469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6.1 标准机架式服务器，内置H</w:t>
      </w:r>
      <w:r w:rsidRPr="00C924EF">
        <w:rPr>
          <w:rFonts w:ascii="仿宋_GB2312" w:eastAsia="仿宋_GB2312" w:hAnsi="宋体"/>
          <w:color w:val="000000"/>
          <w:sz w:val="24"/>
        </w:rPr>
        <w:t>IKOS</w:t>
      </w:r>
      <w:r w:rsidRPr="00C924EF">
        <w:rPr>
          <w:rFonts w:ascii="仿宋_GB2312" w:eastAsia="仿宋_GB2312" w:hAnsi="宋体" w:hint="eastAsia"/>
          <w:color w:val="000000"/>
          <w:sz w:val="24"/>
        </w:rPr>
        <w:t>操作系统；</w:t>
      </w:r>
    </w:p>
    <w:p w14:paraId="2E590393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6.2 CPU：配置2颗 C86架构HYGON 3350处理器，单处理器物理核心数≥8核，主频≥3.0 GHz，末级缓存容量≥16 MB，线程数≥16线程，支持内存的最高速率≥3200 MHz，通道数≥2，位宽≥64；</w:t>
      </w:r>
    </w:p>
    <w:p w14:paraId="27EAF9BE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6.3 内存：配置128G DDR4，8根内存插槽，最大可支持扩展至1TB；</w:t>
      </w:r>
    </w:p>
    <w:p w14:paraId="7C7BB19B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6.4 硬盘：2块600G 10K SAS HDD硬盘，前置最大可选支持12块3.5寸</w:t>
      </w:r>
      <w:proofErr w:type="gramStart"/>
      <w:r w:rsidRPr="00C924EF">
        <w:rPr>
          <w:rFonts w:ascii="仿宋_GB2312" w:eastAsia="仿宋_GB2312" w:hAnsi="宋体" w:hint="eastAsia"/>
          <w:color w:val="000000"/>
          <w:sz w:val="24"/>
        </w:rPr>
        <w:t>(兼容2.5寸)</w:t>
      </w:r>
      <w:proofErr w:type="gramEnd"/>
      <w:r w:rsidRPr="00C924EF">
        <w:rPr>
          <w:rFonts w:ascii="仿宋_GB2312" w:eastAsia="仿宋_GB2312" w:hAnsi="宋体" w:hint="eastAsia"/>
          <w:color w:val="000000"/>
          <w:sz w:val="24"/>
        </w:rPr>
        <w:t>热插拔SATA/SAS硬盘，后置最大可选支持2块2.5寸热插拔SATA/SAS硬盘，内置最大可选支持2块2.5寸非热插拔SATA SSD硬盘，板载最大可选支持1个SATA M.2硬盘；</w:t>
      </w:r>
    </w:p>
    <w:p w14:paraId="3059815E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6.5 阵列卡：配置SAS_HBA卡（支持RAID 0/1/10）；</w:t>
      </w:r>
    </w:p>
    <w:p w14:paraId="74C4C8F0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6.6 PCIE扩展：最大支持4个标准PCIE插槽；</w:t>
      </w:r>
    </w:p>
    <w:p w14:paraId="3C5D9E91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6.7 网口：标配板载2个千兆电口，支持选配10GbE/25GbE SFP+等多种网络接口；</w:t>
      </w:r>
    </w:p>
    <w:p w14:paraId="7EF84F3C" w14:textId="6E98F26C" w:rsidR="00BD4A0A" w:rsidRDefault="003C6FB9" w:rsidP="003C6FB9">
      <w:pPr>
        <w:spacing w:line="520" w:lineRule="exact"/>
        <w:ind w:firstLineChars="200" w:firstLine="480"/>
        <w:rPr>
          <w:sz w:val="30"/>
          <w:szCs w:val="30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lastRenderedPageBreak/>
        <w:t>6.8 电源：配置550W（1+1）高效铂金CRPS冗余电源。</w:t>
      </w:r>
    </w:p>
    <w:p w14:paraId="1704B413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四、设计、生产、制造、安装、检验检测所需资质文件</w:t>
      </w:r>
    </w:p>
    <w:p w14:paraId="316DFEA9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系统检验报告；（投标时提供）</w:t>
      </w:r>
    </w:p>
    <w:p w14:paraId="63CF59E8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出厂检验报告；（交货时提供）</w:t>
      </w:r>
    </w:p>
    <w:p w14:paraId="24B9022F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产品合格证；（交货时提供）</w:t>
      </w:r>
    </w:p>
    <w:p w14:paraId="4AF3773D" w14:textId="77777777" w:rsidR="003C6FB9" w:rsidRDefault="003C6FB9" w:rsidP="003C6FB9">
      <w:pPr>
        <w:spacing w:line="520" w:lineRule="exact"/>
        <w:ind w:firstLineChars="200" w:firstLine="480"/>
        <w:jc w:val="left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4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为保证矿井的合法权益，保证投标方更清楚、彻底了解矿井系统架构部署，更真实、合理的报价，投标方可自行到矿进行现场勘察、交流。</w:t>
      </w:r>
    </w:p>
    <w:p w14:paraId="17777B65" w14:textId="79322BF5" w:rsidR="00BD4A0A" w:rsidRDefault="00B16DCF" w:rsidP="003C6FB9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五、货物使用环境及范围</w:t>
      </w:r>
    </w:p>
    <w:p w14:paraId="74BD7CF8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5.1系统中用于机房、调度室的设备，应能在下列条件下正常工作：</w:t>
      </w:r>
    </w:p>
    <w:p w14:paraId="24702284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环境温度：-10°C～40°C；</w:t>
      </w:r>
    </w:p>
    <w:p w14:paraId="7CE8F57F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相对湿度：20%～70%；</w:t>
      </w:r>
    </w:p>
    <w:p w14:paraId="101EF749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温度变化率：小于10°C/h；</w:t>
      </w:r>
    </w:p>
    <w:p w14:paraId="0F015F73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4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大气压力：80kPa～106kPa。</w:t>
      </w:r>
    </w:p>
    <w:p w14:paraId="42B76D88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5.2 地面设备交流电源应符合下列要求：</w:t>
      </w:r>
    </w:p>
    <w:p w14:paraId="5DC588E9" w14:textId="11F1E170" w:rsidR="00BD4A0A" w:rsidRDefault="003C6FB9" w:rsidP="003C6FB9">
      <w:pPr>
        <w:spacing w:line="520" w:lineRule="exact"/>
        <w:ind w:firstLineChars="200" w:firstLine="480"/>
        <w:rPr>
          <w:sz w:val="30"/>
          <w:szCs w:val="30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额定电压：380V、220V，允许偏差-10%～+10%。</w:t>
      </w:r>
    </w:p>
    <w:p w14:paraId="7E224DD3" w14:textId="77777777" w:rsidR="00BD4A0A" w:rsidRDefault="00B16DCF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六、货物适用标准</w:t>
      </w:r>
    </w:p>
    <w:p w14:paraId="6CFB6476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遵循标准：系统升级应遵循国家及行业相关的信息技术标准、安全标准和规范。</w:t>
      </w:r>
    </w:p>
    <w:p w14:paraId="0349F31D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可维护性：系统设计应具有良好的可维护性，便于后续的升级、维护和优化工作。</w:t>
      </w:r>
    </w:p>
    <w:p w14:paraId="470056C2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文档化：提供完整的技术文档和用户手册，包括系统操作手册、电脑端和移动端应用手册等。</w:t>
      </w:r>
    </w:p>
    <w:p w14:paraId="730D254C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/>
          <w:color w:val="000000"/>
          <w:sz w:val="24"/>
        </w:rPr>
        <w:t>4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搭建主备双机热备集群，部署 iOMS Ent-HAMANAGER 双机热备管理软件，实现监控全业务自动故障切换；</w:t>
      </w:r>
    </w:p>
    <w:p w14:paraId="5A5CB6C4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/>
          <w:color w:val="000000"/>
          <w:sz w:val="24"/>
        </w:rPr>
        <w:t>5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适配现有海康威视综合安防平台，兼容井下、地面全部监控点位，满足上级</w:t>
      </w:r>
      <w:r w:rsidRPr="00C924EF">
        <w:rPr>
          <w:rFonts w:ascii="仿宋_GB2312" w:eastAsia="仿宋_GB2312" w:hAnsi="宋体" w:hint="eastAsia"/>
          <w:color w:val="000000"/>
          <w:sz w:val="24"/>
        </w:rPr>
        <w:lastRenderedPageBreak/>
        <w:t>监管平台上传要求；</w:t>
      </w:r>
    </w:p>
    <w:p w14:paraId="6CB95607" w14:textId="77777777" w:rsidR="003C6FB9" w:rsidRDefault="003C6FB9" w:rsidP="003C6FB9">
      <w:pPr>
        <w:spacing w:line="520" w:lineRule="exact"/>
        <w:ind w:firstLineChars="200" w:firstLine="480"/>
        <w:jc w:val="left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/>
          <w:color w:val="000000"/>
          <w:sz w:val="24"/>
        </w:rPr>
        <w:t>6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简化运维管理，实现集群统一监控、一键同步配置、批量升级维护，降低人工运维成本。</w:t>
      </w:r>
    </w:p>
    <w:p w14:paraId="3B7D4D07" w14:textId="1177DFE4" w:rsidR="00BD4A0A" w:rsidRDefault="00251B68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七</w:t>
      </w:r>
      <w:r w:rsidR="00B16DCF">
        <w:rPr>
          <w:rFonts w:ascii="仿宋_GB2312" w:eastAsia="仿宋_GB2312" w:hAnsi="仿宋_GB2312"/>
          <w:sz w:val="30"/>
          <w:szCs w:val="30"/>
        </w:rPr>
        <w:t>、质量及验收要求</w:t>
      </w:r>
    </w:p>
    <w:p w14:paraId="1F68FDAE" w14:textId="1C363F42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设备再出厂前进行严格的测试、检验，并提供产品的各种资质，如产品合格证、使用说明书等出厂随机资料，以便进行货物验收；</w:t>
      </w:r>
    </w:p>
    <w:p w14:paraId="19D8B682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设备到货后，双方共同进行设备到货验收，根据合同约定，查验包装、产品、型号、数量，签字确认；</w:t>
      </w:r>
    </w:p>
    <w:p w14:paraId="5203121C" w14:textId="77777777" w:rsidR="003C6FB9" w:rsidRDefault="003C6FB9" w:rsidP="003C6FB9">
      <w:pPr>
        <w:spacing w:line="520" w:lineRule="exact"/>
        <w:ind w:firstLineChars="200" w:firstLine="480"/>
        <w:jc w:val="left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合同签订后在10天内完成供货，特殊情况需根据矿要求时间供货。</w:t>
      </w:r>
    </w:p>
    <w:p w14:paraId="276CFC76" w14:textId="6D4224BA" w:rsidR="00BD4A0A" w:rsidRDefault="00251B68" w:rsidP="003C6FB9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八</w:t>
      </w:r>
      <w:r w:rsidR="00B16DCF">
        <w:rPr>
          <w:rFonts w:ascii="仿宋_GB2312" w:eastAsia="仿宋_GB2312" w:hAnsi="仿宋_GB2312"/>
          <w:sz w:val="30"/>
          <w:szCs w:val="30"/>
        </w:rPr>
        <w:t>、安装、调试要求</w:t>
      </w:r>
    </w:p>
    <w:p w14:paraId="34EE4CE0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>
        <w:rPr>
          <w:rFonts w:ascii="仿宋_GB2312" w:eastAsia="仿宋_GB2312" w:hAnsi="宋体" w:hint="eastAsia"/>
          <w:color w:val="000000"/>
          <w:sz w:val="24"/>
        </w:rPr>
        <w:t xml:space="preserve">． </w:t>
      </w:r>
      <w:r w:rsidRPr="00C924EF">
        <w:rPr>
          <w:rFonts w:ascii="仿宋_GB2312" w:eastAsia="仿宋_GB2312" w:hAnsi="宋体" w:hint="eastAsia"/>
          <w:color w:val="000000"/>
          <w:sz w:val="24"/>
        </w:rPr>
        <w:t>安装指导: 设备到货经双方验收合格后，由厂家安排专人对产品进行安装指导以及培训；</w:t>
      </w:r>
    </w:p>
    <w:p w14:paraId="35080D95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 xml:space="preserve">使用指导：在产品试用及使用之前,针对产品的使用方法及注意事项进行指导培训； </w:t>
      </w:r>
    </w:p>
    <w:p w14:paraId="10FDEFAA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系统试运转：在试运转期间，系统出现故障、设备出现异常， 厂家应立即提出解决方案、立即处理，并排除故障，保证系统的正常 使用及运行；</w:t>
      </w:r>
    </w:p>
    <w:p w14:paraId="43A3F8E9" w14:textId="77777777" w:rsidR="003C6FB9" w:rsidRDefault="003C6FB9" w:rsidP="003C6FB9">
      <w:pPr>
        <w:spacing w:line="520" w:lineRule="exact"/>
        <w:ind w:firstLineChars="200" w:firstLine="480"/>
        <w:jc w:val="left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4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安装、调试期间厂家必须保证工程技术专业人员驻矿，并服从矿方安排。</w:t>
      </w:r>
    </w:p>
    <w:p w14:paraId="66BD9298" w14:textId="5F12FC74" w:rsidR="00BD4A0A" w:rsidRDefault="00251B68" w:rsidP="003C6FB9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九</w:t>
      </w:r>
      <w:r w:rsidR="00B16DCF">
        <w:rPr>
          <w:rFonts w:ascii="仿宋_GB2312" w:eastAsia="仿宋_GB2312" w:hAnsi="仿宋_GB2312"/>
          <w:sz w:val="30"/>
          <w:szCs w:val="30"/>
        </w:rPr>
        <w:t>、服务及质保要求</w:t>
      </w:r>
    </w:p>
    <w:p w14:paraId="656A425C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9</w:t>
      </w:r>
      <w:r w:rsidRPr="00C924EF">
        <w:rPr>
          <w:rFonts w:ascii="仿宋_GB2312" w:eastAsia="仿宋_GB2312" w:hAnsi="宋体"/>
          <w:color w:val="000000"/>
          <w:sz w:val="24"/>
        </w:rPr>
        <w:t>.1</w:t>
      </w:r>
      <w:r w:rsidRPr="00C924EF">
        <w:rPr>
          <w:rFonts w:ascii="仿宋_GB2312" w:eastAsia="仿宋_GB2312" w:hAnsi="宋体" w:hint="eastAsia"/>
          <w:color w:val="000000"/>
          <w:sz w:val="24"/>
        </w:rPr>
        <w:t>服务承诺：</w:t>
      </w:r>
    </w:p>
    <w:p w14:paraId="38809E03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 xml:space="preserve">设备及系统出现问题时，厂家在接到电话 15 分钟内有响应，若电话中不能解决，及时联系服务人员将在 24 小时内赶至现场处理故障； </w:t>
      </w:r>
    </w:p>
    <w:p w14:paraId="393AA3B8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负责调试，并免费提供技术培训及技术支持；</w:t>
      </w:r>
    </w:p>
    <w:p w14:paraId="19A7A063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 xml:space="preserve">对每件用户反馈的产品质量问题及处理结果及时反馈； </w:t>
      </w:r>
    </w:p>
    <w:p w14:paraId="4EC0C7F0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4.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提供的硬件售后服务执行国家“三包”政策，平台软件实行终身远程维护，软件交付后 24 个月内免维护费；</w:t>
      </w:r>
    </w:p>
    <w:p w14:paraId="54C31116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lastRenderedPageBreak/>
        <w:t>5.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无偿协助第三方进行系统融合。</w:t>
      </w:r>
    </w:p>
    <w:p w14:paraId="5A735D18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9.2人员培训：</w:t>
      </w:r>
    </w:p>
    <w:p w14:paraId="16C75556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1. 培训内容包括与应用系统相关的软件模块、系统功能应用、系统配置、管理、运维、功能配置与开发培训、项目管理方法、业务流程梳理方法的培训等项目，中标方应提供培训计划、培训课程概述（大纲）、培训的目的等，培训时中标方应提供相关的中文培训资料；</w:t>
      </w:r>
    </w:p>
    <w:p w14:paraId="388A2D8A" w14:textId="2801E339" w:rsidR="003C6FB9" w:rsidRDefault="003C6FB9" w:rsidP="003C6FB9">
      <w:pPr>
        <w:spacing w:line="480" w:lineRule="exact"/>
        <w:ind w:firstLineChars="200" w:firstLine="480"/>
        <w:rPr>
          <w:rFonts w:ascii="仿宋_GB2312" w:eastAsia="仿宋_GB2312" w:hAnsi="仿宋_GB2312" w:hint="eastAsia"/>
          <w:sz w:val="30"/>
          <w:szCs w:val="30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2. 中标方应提供贯穿项目全过程的培训服务，针对不同阶段、不同角色、不同的需求组织多种形式的培训，如课堂培训、</w:t>
      </w:r>
      <w:r>
        <w:rPr>
          <w:rFonts w:ascii="仿宋_GB2312" w:eastAsia="仿宋_GB2312" w:hAnsi="宋体" w:hint="eastAsia"/>
          <w:color w:val="000000"/>
          <w:sz w:val="24"/>
        </w:rPr>
        <w:t>现场</w:t>
      </w:r>
      <w:r w:rsidRPr="00C924EF">
        <w:rPr>
          <w:rFonts w:ascii="仿宋_GB2312" w:eastAsia="仿宋_GB2312" w:hAnsi="宋体" w:hint="eastAsia"/>
          <w:color w:val="000000"/>
          <w:sz w:val="24"/>
        </w:rPr>
        <w:t>培训、自助学习多媒体课件等，实现知识转移，以便使用户全面掌握系统功能、特点和必要的运维知识，保障系统长期稳定地运行。</w:t>
      </w:r>
    </w:p>
    <w:p w14:paraId="531FDB3A" w14:textId="204863B8" w:rsidR="00BD4A0A" w:rsidRDefault="00251B68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</w:t>
      </w:r>
      <w:r w:rsidR="00B16DCF">
        <w:rPr>
          <w:rFonts w:ascii="仿宋_GB2312" w:eastAsia="仿宋_GB2312" w:hAnsi="仿宋_GB2312"/>
          <w:sz w:val="30"/>
          <w:szCs w:val="30"/>
        </w:rPr>
        <w:t>、运输及包装要求</w:t>
      </w:r>
    </w:p>
    <w:p w14:paraId="45DD45EC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由专人负责货物的运输管理，负责将货物送至指定地点，相关运输费用由中标方承担；</w:t>
      </w:r>
    </w:p>
    <w:p w14:paraId="082A1BF0" w14:textId="54D0589B" w:rsidR="00BD4A0A" w:rsidRDefault="003C6FB9" w:rsidP="003C6FB9">
      <w:pPr>
        <w:spacing w:line="520" w:lineRule="exact"/>
        <w:ind w:firstLineChars="200" w:firstLine="480"/>
        <w:rPr>
          <w:sz w:val="30"/>
          <w:szCs w:val="30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包装保证设备及各部位不存在碰撞、损伤等现象，包装物不得回收。</w:t>
      </w:r>
    </w:p>
    <w:p w14:paraId="527E6DD3" w14:textId="5F191D40" w:rsidR="00BD4A0A" w:rsidRDefault="00251B68" w:rsidP="002F5184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</w:t>
      </w:r>
      <w:r>
        <w:rPr>
          <w:rFonts w:ascii="仿宋_GB2312" w:eastAsia="仿宋_GB2312" w:hAnsi="仿宋_GB2312" w:hint="eastAsia"/>
          <w:sz w:val="30"/>
          <w:szCs w:val="30"/>
        </w:rPr>
        <w:t>一</w:t>
      </w:r>
      <w:r w:rsidR="00B16DCF">
        <w:rPr>
          <w:rFonts w:ascii="仿宋_GB2312" w:eastAsia="仿宋_GB2312" w:hAnsi="仿宋_GB2312"/>
          <w:sz w:val="30"/>
          <w:szCs w:val="30"/>
        </w:rPr>
        <w:t>、供应商须提供技术资料要求</w:t>
      </w:r>
    </w:p>
    <w:p w14:paraId="29060C03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1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中标方应提供项目所涉及设备的产品质量检验合格证2套，检验报告1份，装箱单、交货明细；</w:t>
      </w:r>
    </w:p>
    <w:p w14:paraId="6807899B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2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项目所涉及设备应出具产品的原厂原件证明；</w:t>
      </w:r>
    </w:p>
    <w:p w14:paraId="0436FA32" w14:textId="77777777" w:rsidR="003C6FB9" w:rsidRPr="00C924EF" w:rsidRDefault="003C6FB9" w:rsidP="003C6FB9">
      <w:pPr>
        <w:spacing w:line="480" w:lineRule="exact"/>
        <w:ind w:firstLineChars="200" w:firstLine="480"/>
        <w:rPr>
          <w:rFonts w:ascii="仿宋_GB2312" w:eastAsia="仿宋_GB2312" w:hAnsi="宋体" w:hint="eastAsia"/>
          <w:color w:val="000000"/>
          <w:sz w:val="24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3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当项目施工完成后，厂家负责提供系统维护所需的全部技术资料；</w:t>
      </w:r>
    </w:p>
    <w:p w14:paraId="574814DD" w14:textId="4C28FF72" w:rsidR="00BD4A0A" w:rsidRDefault="003C6FB9" w:rsidP="003C6FB9">
      <w:pPr>
        <w:spacing w:line="520" w:lineRule="exact"/>
        <w:ind w:firstLineChars="200" w:firstLine="480"/>
        <w:rPr>
          <w:sz w:val="30"/>
          <w:szCs w:val="30"/>
        </w:rPr>
      </w:pPr>
      <w:r w:rsidRPr="00C924EF">
        <w:rPr>
          <w:rFonts w:ascii="仿宋_GB2312" w:eastAsia="仿宋_GB2312" w:hAnsi="宋体" w:hint="eastAsia"/>
          <w:color w:val="000000"/>
          <w:sz w:val="24"/>
        </w:rPr>
        <w:t>4</w:t>
      </w:r>
      <w:r w:rsidRPr="00C924EF">
        <w:rPr>
          <w:rFonts w:ascii="仿宋_GB2312" w:eastAsia="仿宋_GB2312" w:hAnsi="宋体"/>
          <w:color w:val="000000"/>
          <w:sz w:val="24"/>
        </w:rPr>
        <w:t>.</w:t>
      </w:r>
      <w:r>
        <w:rPr>
          <w:rFonts w:ascii="仿宋_GB2312" w:eastAsia="仿宋_GB2312" w:hAnsi="宋体" w:hint="eastAsia"/>
          <w:color w:val="000000"/>
          <w:sz w:val="24"/>
        </w:rPr>
        <w:t xml:space="preserve"> </w:t>
      </w:r>
      <w:r w:rsidRPr="00C924EF">
        <w:rPr>
          <w:rFonts w:ascii="仿宋_GB2312" w:eastAsia="仿宋_GB2312" w:hAnsi="宋体" w:hint="eastAsia"/>
          <w:color w:val="000000"/>
          <w:sz w:val="24"/>
        </w:rPr>
        <w:t>其他应提交的相关资料及证明。</w:t>
      </w:r>
    </w:p>
    <w:p w14:paraId="03553AA1" w14:textId="110A6AFE" w:rsidR="00BD4A0A" w:rsidRPr="00067C2C" w:rsidRDefault="00251B68" w:rsidP="00067C2C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</w:t>
      </w:r>
      <w:r>
        <w:rPr>
          <w:rFonts w:ascii="仿宋_GB2312" w:eastAsia="仿宋_GB2312" w:hAnsi="仿宋_GB2312" w:hint="eastAsia"/>
          <w:sz w:val="30"/>
          <w:szCs w:val="30"/>
        </w:rPr>
        <w:t>二</w:t>
      </w:r>
      <w:r w:rsidR="00B16DCF">
        <w:rPr>
          <w:rFonts w:ascii="仿宋_GB2312" w:eastAsia="仿宋_GB2312" w:hAnsi="仿宋_GB2312"/>
          <w:sz w:val="30"/>
          <w:szCs w:val="30"/>
        </w:rPr>
        <w:t>、</w:t>
      </w:r>
      <w:r w:rsidR="00B16DCF" w:rsidRPr="00067C2C">
        <w:rPr>
          <w:rFonts w:ascii="仿宋_GB2312" w:eastAsia="仿宋_GB2312" w:hAnsi="仿宋_GB2312" w:hint="eastAsia"/>
          <w:sz w:val="30"/>
          <w:szCs w:val="30"/>
        </w:rPr>
        <w:t>项目商务和技术响应书</w:t>
      </w:r>
    </w:p>
    <w:p w14:paraId="5BDC837E" w14:textId="77777777" w:rsidR="003C6FB9" w:rsidRDefault="003C6FB9" w:rsidP="003C6FB9">
      <w:pPr>
        <w:pStyle w:val="2"/>
      </w:pPr>
    </w:p>
    <w:p w14:paraId="35AD52C3" w14:textId="77777777" w:rsidR="003C6FB9" w:rsidRDefault="003C6FB9" w:rsidP="003C6FB9">
      <w:pPr>
        <w:pStyle w:val="2"/>
      </w:pPr>
    </w:p>
    <w:p w14:paraId="554CE273" w14:textId="77777777" w:rsidR="003C6FB9" w:rsidRDefault="003C6FB9" w:rsidP="003C6FB9">
      <w:pPr>
        <w:pStyle w:val="2"/>
      </w:pPr>
    </w:p>
    <w:p w14:paraId="019826EE" w14:textId="77777777" w:rsidR="003C6FB9" w:rsidRDefault="003C6FB9" w:rsidP="003C6FB9">
      <w:pPr>
        <w:pStyle w:val="2"/>
      </w:pPr>
    </w:p>
    <w:p w14:paraId="2CD6FC17" w14:textId="77777777" w:rsidR="00067C2C" w:rsidRDefault="00067C2C" w:rsidP="003C6FB9">
      <w:pPr>
        <w:pStyle w:val="2"/>
      </w:pPr>
    </w:p>
    <w:p w14:paraId="4E91CC6E" w14:textId="77777777" w:rsidR="00067C2C" w:rsidRDefault="00067C2C" w:rsidP="003C6FB9">
      <w:pPr>
        <w:pStyle w:val="2"/>
      </w:pPr>
    </w:p>
    <w:p w14:paraId="4A5C7C24" w14:textId="77777777" w:rsidR="00067C2C" w:rsidRDefault="00067C2C" w:rsidP="003C6FB9">
      <w:pPr>
        <w:pStyle w:val="2"/>
      </w:pPr>
    </w:p>
    <w:p w14:paraId="5913454C" w14:textId="77777777" w:rsidR="00067C2C" w:rsidRDefault="00067C2C" w:rsidP="003C6FB9">
      <w:pPr>
        <w:pStyle w:val="2"/>
      </w:pPr>
    </w:p>
    <w:p w14:paraId="77B6EBE1" w14:textId="4FA964A8" w:rsidR="00BD4A0A" w:rsidRDefault="00251B68" w:rsidP="002F5184">
      <w:pPr>
        <w:snapToGrid w:val="0"/>
        <w:spacing w:line="520" w:lineRule="exact"/>
        <w:jc w:val="center"/>
        <w:rPr>
          <w:rFonts w:cs="宋体"/>
          <w:b/>
          <w:sz w:val="32"/>
          <w:szCs w:val="32"/>
        </w:rPr>
      </w:pPr>
      <w:r w:rsidRPr="00251B68">
        <w:rPr>
          <w:rFonts w:cs="宋体" w:hint="eastAsia"/>
          <w:b/>
          <w:sz w:val="32"/>
          <w:szCs w:val="32"/>
        </w:rPr>
        <w:lastRenderedPageBreak/>
        <w:t>视频双机热备软件</w:t>
      </w:r>
      <w:r w:rsidR="00B16DCF">
        <w:rPr>
          <w:rFonts w:cs="宋体" w:hint="eastAsia"/>
          <w:b/>
          <w:sz w:val="32"/>
          <w:szCs w:val="32"/>
        </w:rPr>
        <w:t>项目商务和技术响应书</w:t>
      </w:r>
    </w:p>
    <w:p w14:paraId="3F841C30" w14:textId="77777777" w:rsidR="00BD4A0A" w:rsidRDefault="00B16DCF" w:rsidP="00067C2C">
      <w:pPr>
        <w:spacing w:beforeLines="50" w:before="156" w:line="560" w:lineRule="exact"/>
        <w:ind w:firstLine="640"/>
        <w:rPr>
          <w:rFonts w:ascii="仿宋_GB2312" w:eastAsia="仿宋_GB2312"/>
          <w:b/>
          <w:bCs/>
          <w:sz w:val="20"/>
          <w:szCs w:val="20"/>
        </w:rPr>
      </w:pPr>
      <w:r>
        <w:rPr>
          <w:rFonts w:ascii="宋体" w:hAnsi="宋体" w:cs="宋体" w:hint="eastAsia"/>
          <w:b/>
          <w:bCs/>
          <w:sz w:val="20"/>
          <w:szCs w:val="20"/>
        </w:rPr>
        <w:t>报名供应商（盖章）:                               日期：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  </w:t>
      </w:r>
      <w:r>
        <w:rPr>
          <w:rFonts w:ascii="宋体" w:hAnsi="宋体" w:cs="宋体" w:hint="eastAsia"/>
          <w:b/>
          <w:bCs/>
          <w:sz w:val="20"/>
          <w:szCs w:val="20"/>
        </w:rPr>
        <w:t>年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月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日</w:t>
      </w:r>
    </w:p>
    <w:tbl>
      <w:tblPr>
        <w:tblStyle w:val="a7"/>
        <w:tblW w:w="9506" w:type="dxa"/>
        <w:tblLayout w:type="fixed"/>
        <w:tblLook w:val="04A0" w:firstRow="1" w:lastRow="0" w:firstColumn="1" w:lastColumn="0" w:noHBand="0" w:noVBand="1"/>
      </w:tblPr>
      <w:tblGrid>
        <w:gridCol w:w="318"/>
        <w:gridCol w:w="1950"/>
        <w:gridCol w:w="2522"/>
        <w:gridCol w:w="2641"/>
        <w:gridCol w:w="2075"/>
      </w:tblGrid>
      <w:tr w:rsidR="00BD4A0A" w14:paraId="04862637" w14:textId="77777777" w:rsidTr="00CF4AF0">
        <w:trPr>
          <w:trHeight w:val="90"/>
          <w:tblHeader/>
        </w:trPr>
        <w:tc>
          <w:tcPr>
            <w:tcW w:w="318" w:type="dxa"/>
            <w:vAlign w:val="center"/>
          </w:tcPr>
          <w:p w14:paraId="4A3A3B2C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序</w:t>
            </w:r>
          </w:p>
          <w:p w14:paraId="36FCE9BE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号</w:t>
            </w:r>
          </w:p>
        </w:tc>
        <w:tc>
          <w:tcPr>
            <w:tcW w:w="1950" w:type="dxa"/>
            <w:vAlign w:val="center"/>
          </w:tcPr>
          <w:p w14:paraId="1F9FE0F0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物资名称及参考型号</w:t>
            </w:r>
          </w:p>
        </w:tc>
        <w:tc>
          <w:tcPr>
            <w:tcW w:w="2522" w:type="dxa"/>
            <w:vAlign w:val="center"/>
          </w:tcPr>
          <w:p w14:paraId="53851288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主要配置参数要求</w:t>
            </w:r>
          </w:p>
        </w:tc>
        <w:tc>
          <w:tcPr>
            <w:tcW w:w="2641" w:type="dxa"/>
            <w:vAlign w:val="center"/>
          </w:tcPr>
          <w:p w14:paraId="3324BFDA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投标品牌、型号及参数</w:t>
            </w:r>
          </w:p>
        </w:tc>
        <w:tc>
          <w:tcPr>
            <w:tcW w:w="2075" w:type="dxa"/>
            <w:vAlign w:val="center"/>
          </w:tcPr>
          <w:p w14:paraId="23E0DCDF" w14:textId="77777777" w:rsidR="00BD4A0A" w:rsidRDefault="00B16DCF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是否响应（如完全响应，请在此栏注明“完全响应技术要求”，如有偏离，请清晰描述偏离情况。）</w:t>
            </w:r>
          </w:p>
        </w:tc>
      </w:tr>
      <w:tr w:rsidR="00CF4AF0" w14:paraId="5CEC2AB0" w14:textId="77777777" w:rsidTr="00CF4AF0">
        <w:trPr>
          <w:trHeight w:hRule="exact" w:val="2614"/>
        </w:trPr>
        <w:tc>
          <w:tcPr>
            <w:tcW w:w="318" w:type="dxa"/>
            <w:vAlign w:val="center"/>
          </w:tcPr>
          <w:p w14:paraId="2974BF3C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950" w:type="dxa"/>
            <w:vAlign w:val="center"/>
          </w:tcPr>
          <w:p w14:paraId="6459F535" w14:textId="7DF75DD0" w:rsidR="00CF4AF0" w:rsidRPr="00CF4AF0" w:rsidRDefault="00CF4AF0" w:rsidP="00CF4AF0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 w:rsidRPr="00CF4AF0">
              <w:rPr>
                <w:rFonts w:ascii="宋体" w:hAnsi="宋体" w:cs="宋体" w:hint="eastAsia"/>
                <w:color w:val="000000"/>
                <w:sz w:val="18"/>
                <w:szCs w:val="18"/>
              </w:rPr>
              <w:t>双机热备软件（iOMS Ent-HAMANAGER）</w:t>
            </w:r>
          </w:p>
        </w:tc>
        <w:tc>
          <w:tcPr>
            <w:tcW w:w="2522" w:type="dxa"/>
            <w:vAlign w:val="center"/>
          </w:tcPr>
          <w:p w14:paraId="03A63A62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整体架构设计采用主备双机热备架构，两台服务器部署相同业务组件，包含监控管理、图像解码、录像存储、设备接入、平台上传五大核心业务模块。</w:t>
            </w:r>
          </w:p>
          <w:p w14:paraId="1B1A7096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1． 正常运行模式：主机承担全部业务负载，备机处于同步待机状态，实时同步主机配置文件、设备台账、录像数据流、日志信息；</w:t>
            </w:r>
          </w:p>
          <w:p w14:paraId="605DD9B2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2． 故障切换模式：热备管理软件实时检测主机运行状态，检测到主机失联 / 宕机后，自动在备机拉起全部业务，完成接管；</w:t>
            </w:r>
          </w:p>
          <w:p w14:paraId="0B756C24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3． 数据同步机制：配套专用视频录像同步程序，保障录像文件、设备参数、用户权限双向实时同步，切换后无数据断层。。</w:t>
            </w:r>
          </w:p>
          <w:p w14:paraId="32C258D3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配置同步：设备 IP、通道参数、用户权限、录像计划、大屏解码配置实时双向同步；</w:t>
            </w:r>
          </w:p>
          <w:p w14:paraId="64D675E2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录像同步：采用增量实时同步机制，主机产生的视频录像实时传输至备机存储，切换后录像可连续调取；</w:t>
            </w:r>
          </w:p>
          <w:p w14:paraId="12755A23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日志同步：操作日志、设备告警、故障记录同步备份至备机，完整留存安全监管溯源资料。</w:t>
            </w:r>
          </w:p>
          <w:p w14:paraId="3B0FADEF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4． 授权与激活</w:t>
            </w:r>
          </w:p>
          <w:p w14:paraId="63906CA9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单套授权、单一激活码绑定双服务器硬件指纹，一套软件实现双机热备，无需两套授权，简化审批流程；</w:t>
            </w:r>
          </w:p>
          <w:p w14:paraId="36A56A22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激活永久有效，支持后期平台升级、补丁更新同步授权。</w:t>
            </w:r>
          </w:p>
          <w:p w14:paraId="02E572EC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5． 统一运维管理</w:t>
            </w:r>
          </w:p>
          <w:p w14:paraId="6A500310" w14:textId="37766FAC" w:rsidR="00CF4AF0" w:rsidRPr="00287502" w:rsidRDefault="00CF4AF0" w:rsidP="00287502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双机热备环境中的安装/卸载/升级/回滚、安装/卸载补丁、安装资源包等运维行为只需在运管上操作，通过带入同步至备机，无需人工再在备机上处理一遍，大大降低操作复杂度。软件自带集群监控界面，能够实时监控主备服务器状态，并针对中间件的运行状态、数据同步等指标进行实时展现，能够直观掌握双机热备健康状态；</w:t>
            </w:r>
          </w:p>
          <w:p w14:paraId="1A92706E" w14:textId="77777777" w:rsidR="00CF4AF0" w:rsidRPr="00287502" w:rsidRDefault="00CF4AF0" w:rsidP="00287502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641" w:type="dxa"/>
            <w:vAlign w:val="center"/>
          </w:tcPr>
          <w:p w14:paraId="7EEFE9D9" w14:textId="1284EB02" w:rsidR="00CF4AF0" w:rsidRDefault="00CF4AF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75" w:type="dxa"/>
            <w:vAlign w:val="center"/>
          </w:tcPr>
          <w:p w14:paraId="54EB2B62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CF4AF0" w14:paraId="15C8E011" w14:textId="77777777" w:rsidTr="00CF4AF0">
        <w:trPr>
          <w:trHeight w:hRule="exact" w:val="2614"/>
        </w:trPr>
        <w:tc>
          <w:tcPr>
            <w:tcW w:w="318" w:type="dxa"/>
            <w:vAlign w:val="center"/>
          </w:tcPr>
          <w:p w14:paraId="7F242723" w14:textId="5648BB60" w:rsidR="00CF4AF0" w:rsidRDefault="00CF4AF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</w:t>
            </w:r>
          </w:p>
        </w:tc>
        <w:tc>
          <w:tcPr>
            <w:tcW w:w="1950" w:type="dxa"/>
            <w:vAlign w:val="center"/>
          </w:tcPr>
          <w:p w14:paraId="4354A36E" w14:textId="3D07857F" w:rsidR="00CF4AF0" w:rsidRPr="00CF4AF0" w:rsidRDefault="00CF4AF0" w:rsidP="00CF4AF0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20"/>
                <w:szCs w:val="20"/>
              </w:rPr>
            </w:pPr>
            <w:r w:rsidRPr="00CF4AF0">
              <w:rPr>
                <w:rFonts w:ascii="宋体" w:hAnsi="宋体" w:cs="宋体" w:hint="eastAsia"/>
                <w:color w:val="000000"/>
                <w:sz w:val="18"/>
                <w:szCs w:val="18"/>
              </w:rPr>
              <w:t>平台管理服务器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(DS-VM22R-CL/R2/PZ)</w:t>
            </w:r>
          </w:p>
        </w:tc>
        <w:tc>
          <w:tcPr>
            <w:tcW w:w="2522" w:type="dxa"/>
            <w:vAlign w:val="center"/>
          </w:tcPr>
          <w:p w14:paraId="14815EBF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海康威视平台管理服务器；</w:t>
            </w:r>
          </w:p>
          <w:p w14:paraId="421C76D7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1 标准机架式服务器，内置H</w:t>
            </w:r>
            <w:r w:rsidRPr="00287502">
              <w:rPr>
                <w:rFonts w:ascii="宋体" w:hAnsi="宋体" w:cs="宋体"/>
                <w:color w:val="000000"/>
                <w:sz w:val="18"/>
                <w:szCs w:val="18"/>
              </w:rPr>
              <w:t>IKOS</w:t>
            </w: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操作系统；</w:t>
            </w:r>
          </w:p>
          <w:p w14:paraId="5907EB73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2 CPU：配置2颗 C86架构HYGON 3350处理器，单处理器物理核心数≥8核，主频≥3.0 GHz，末级缓存容量≥16 MB，线程数≥16线程，支持内存的最高速率≥3200 MHz，通道数≥2，位宽≥64；</w:t>
            </w:r>
          </w:p>
          <w:p w14:paraId="1FE07059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3 内存：配置128G DDR4，8根内存插槽，最大可支持扩展至1TB；</w:t>
            </w:r>
          </w:p>
          <w:p w14:paraId="0042CA72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4 硬盘：2块600G 10K SAS HDD硬盘，前置最大可选支持12块3.5寸</w:t>
            </w:r>
            <w:proofErr w:type="gramStart"/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(兼容2.5寸)</w:t>
            </w:r>
            <w:proofErr w:type="gramEnd"/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热插拔SATA/SAS硬盘，后置最大可选支持2块2.5寸热插拔SATA/SAS硬盘，内置最大可选支持2块2.5寸非热插拔SATA SSD硬盘，板载最大可选支持1个SATA M.2硬盘；</w:t>
            </w:r>
          </w:p>
          <w:p w14:paraId="1D5D2F2A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5 阵列卡：配置SAS_HBA卡（支持RAID 0/1/10）；</w:t>
            </w:r>
          </w:p>
          <w:p w14:paraId="1AE71722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6 PCIE扩展：最大支持4个标准PCIE插槽；</w:t>
            </w:r>
          </w:p>
          <w:p w14:paraId="2E6F300B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7 网口：标配板载2个千兆电口，支持选配10GbE/25GbE SFP+等多种网络接口；</w:t>
            </w:r>
          </w:p>
          <w:p w14:paraId="7A92F4C7" w14:textId="77777777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 w:rsidRPr="00287502">
              <w:rPr>
                <w:rFonts w:ascii="宋体" w:hAnsi="宋体" w:cs="宋体" w:hint="eastAsia"/>
                <w:color w:val="000000"/>
                <w:sz w:val="18"/>
                <w:szCs w:val="18"/>
              </w:rPr>
              <w:t>8 电源：配置550W（1+1）高效铂金CRPS冗余电源。</w:t>
            </w:r>
          </w:p>
          <w:p w14:paraId="408EB7F9" w14:textId="4EB21D91" w:rsidR="00CF4AF0" w:rsidRPr="00287502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641" w:type="dxa"/>
            <w:vAlign w:val="center"/>
          </w:tcPr>
          <w:p w14:paraId="3E34AD2A" w14:textId="1038583D" w:rsidR="00CF4AF0" w:rsidRDefault="00CF4AF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75" w:type="dxa"/>
            <w:vAlign w:val="center"/>
          </w:tcPr>
          <w:p w14:paraId="05E3F8B5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CF4AF0" w14:paraId="69C38292" w14:textId="77777777" w:rsidTr="00CF4AF0">
        <w:tc>
          <w:tcPr>
            <w:tcW w:w="4790" w:type="dxa"/>
            <w:gridSpan w:val="3"/>
            <w:vAlign w:val="center"/>
          </w:tcPr>
          <w:p w14:paraId="6B2E84D7" w14:textId="77777777" w:rsidR="00CF4AF0" w:rsidRDefault="00CF4AF0">
            <w:pPr>
              <w:snapToGrid w:val="0"/>
              <w:jc w:val="left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付款方式：</w:t>
            </w:r>
          </w:p>
          <w:p w14:paraId="72AB2350" w14:textId="2F1EEA79" w:rsidR="00CF4AF0" w:rsidRDefault="00CF4AF0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1.产品全部安装调试完成且验收合格后，出卖人应向买受人开具税率为13%的增值税专用发票。发票挂账后，分期付款。</w:t>
            </w:r>
          </w:p>
        </w:tc>
        <w:tc>
          <w:tcPr>
            <w:tcW w:w="2641" w:type="dxa"/>
            <w:vAlign w:val="center"/>
          </w:tcPr>
          <w:p w14:paraId="2A76B3F7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26E2E6F8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CF4AF0" w14:paraId="7749252C" w14:textId="77777777" w:rsidTr="00CF4AF0">
        <w:tc>
          <w:tcPr>
            <w:tcW w:w="4790" w:type="dxa"/>
            <w:gridSpan w:val="3"/>
            <w:vAlign w:val="center"/>
          </w:tcPr>
          <w:p w14:paraId="0C750A03" w14:textId="60AFF280" w:rsidR="00CF4AF0" w:rsidRDefault="00CF4AF0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交货期：合同签订后接通知10天内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2641" w:type="dxa"/>
            <w:vAlign w:val="center"/>
          </w:tcPr>
          <w:p w14:paraId="010DC8F2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08E293B4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CF4AF0" w14:paraId="7F89E523" w14:textId="77777777" w:rsidTr="00CF4AF0">
        <w:tc>
          <w:tcPr>
            <w:tcW w:w="4790" w:type="dxa"/>
            <w:gridSpan w:val="3"/>
            <w:vAlign w:val="center"/>
          </w:tcPr>
          <w:p w14:paraId="4C240AF2" w14:textId="42800C66" w:rsidR="00CF4AF0" w:rsidRDefault="00CF4AF0" w:rsidP="00287502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质保要求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：</w:t>
            </w:r>
            <w:r w:rsidRPr="002F5184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质保期：为安装调试验收合格之日起</w:t>
            </w:r>
            <w:r w:rsidRPr="00A04304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提供的硬件售后服务执行国家“三包”政策，平台软件实行终身远程维护，软件交付后 24 个月内免维护费</w:t>
            </w:r>
            <w:r w:rsidRPr="002F5184"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。质保期内对产品质量问题免费包修、包退、包换（易损件除外）。质保期内出现的产品质量问题及改造过程中出现的技术问题，由出卖人负责更换或免费处理。质保期后出现的设备故障问题，由出卖人积极配合解决。</w:t>
            </w:r>
          </w:p>
        </w:tc>
        <w:tc>
          <w:tcPr>
            <w:tcW w:w="2641" w:type="dxa"/>
            <w:vAlign w:val="center"/>
          </w:tcPr>
          <w:p w14:paraId="1DC4D52F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75" w:type="dxa"/>
            <w:vAlign w:val="center"/>
          </w:tcPr>
          <w:p w14:paraId="23333BCD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CF4AF0" w14:paraId="38D71233" w14:textId="77777777" w:rsidTr="00CF4AF0">
        <w:tc>
          <w:tcPr>
            <w:tcW w:w="4790" w:type="dxa"/>
            <w:gridSpan w:val="3"/>
            <w:vAlign w:val="center"/>
          </w:tcPr>
          <w:p w14:paraId="68285C5C" w14:textId="77777777" w:rsidR="00CF4AF0" w:rsidRDefault="00CF4AF0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其他承诺的优惠条件：</w:t>
            </w:r>
          </w:p>
        </w:tc>
        <w:tc>
          <w:tcPr>
            <w:tcW w:w="2641" w:type="dxa"/>
            <w:vAlign w:val="center"/>
          </w:tcPr>
          <w:p w14:paraId="6F6C1DF2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（如有，请列明）</w:t>
            </w:r>
          </w:p>
        </w:tc>
        <w:tc>
          <w:tcPr>
            <w:tcW w:w="2075" w:type="dxa"/>
            <w:vAlign w:val="center"/>
          </w:tcPr>
          <w:p w14:paraId="21C5B5AA" w14:textId="77777777" w:rsidR="00CF4AF0" w:rsidRDefault="00CF4AF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CF4AF0" w14:paraId="53427180" w14:textId="77777777" w:rsidTr="00CF4AF0">
        <w:tc>
          <w:tcPr>
            <w:tcW w:w="9506" w:type="dxa"/>
            <w:gridSpan w:val="5"/>
            <w:vAlign w:val="center"/>
          </w:tcPr>
          <w:p w14:paraId="2DE20765" w14:textId="77777777" w:rsidR="00CF4AF0" w:rsidRDefault="00CF4AF0">
            <w:pPr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说明：技术规格响应书中不得出现产品价格，其它严格按使用单位技术规格书要求执行。</w:t>
            </w:r>
          </w:p>
        </w:tc>
      </w:tr>
    </w:tbl>
    <w:p w14:paraId="3709241A" w14:textId="77777777" w:rsidR="00BD4A0A" w:rsidRDefault="00BD4A0A">
      <w:pPr>
        <w:pStyle w:val="2"/>
      </w:pPr>
    </w:p>
    <w:p w14:paraId="74BAC2CC" w14:textId="26B20CFB" w:rsidR="00BD4A0A" w:rsidRPr="006F1C6D" w:rsidRDefault="00B16DCF" w:rsidP="002F5184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十</w:t>
      </w:r>
      <w:r w:rsidR="00CB052C">
        <w:rPr>
          <w:rFonts w:ascii="仿宋_GB2312" w:eastAsia="仿宋_GB2312" w:hAnsi="仿宋_GB2312" w:hint="eastAsia"/>
          <w:sz w:val="30"/>
          <w:szCs w:val="30"/>
        </w:rPr>
        <w:t>三</w:t>
      </w:r>
      <w:r>
        <w:rPr>
          <w:rFonts w:ascii="仿宋_GB2312" w:eastAsia="仿宋_GB2312" w:hAnsi="仿宋_GB2312" w:hint="eastAsia"/>
          <w:sz w:val="30"/>
          <w:szCs w:val="30"/>
        </w:rPr>
        <w:t>、</w:t>
      </w:r>
      <w:r>
        <w:rPr>
          <w:rFonts w:ascii="仿宋_GB2312" w:eastAsia="仿宋_GB2312" w:hAnsi="仿宋_GB2312"/>
          <w:sz w:val="30"/>
          <w:szCs w:val="30"/>
        </w:rPr>
        <w:t>其他</w:t>
      </w:r>
    </w:p>
    <w:p w14:paraId="1579C83E" w14:textId="075B5A35" w:rsidR="00287502" w:rsidRPr="006F1C6D" w:rsidRDefault="006F1C6D" w:rsidP="006F1C6D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 w:rsidRPr="006F1C6D">
        <w:rPr>
          <w:rFonts w:ascii="仿宋_GB2312" w:eastAsia="仿宋_GB2312" w:hAnsi="仿宋_GB2312" w:hint="eastAsia"/>
          <w:sz w:val="30"/>
          <w:szCs w:val="30"/>
        </w:rPr>
        <w:t>无</w:t>
      </w:r>
    </w:p>
    <w:p w14:paraId="3BB945A8" w14:textId="68F672C2" w:rsidR="00067C2C" w:rsidRPr="00067C2C" w:rsidRDefault="00067C2C" w:rsidP="00067C2C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十四</w:t>
      </w:r>
      <w:r w:rsidRPr="00067C2C">
        <w:rPr>
          <w:rFonts w:ascii="仿宋_GB2312" w:eastAsia="仿宋_GB2312" w:hAnsi="仿宋_GB2312" w:hint="eastAsia"/>
          <w:sz w:val="30"/>
          <w:szCs w:val="30"/>
        </w:rPr>
        <w:t>、技术联系人及联系方式</w:t>
      </w:r>
    </w:p>
    <w:p w14:paraId="4DB22069" w14:textId="77777777" w:rsidR="00067C2C" w:rsidRPr="00067C2C" w:rsidRDefault="00067C2C" w:rsidP="00067C2C">
      <w:pPr>
        <w:spacing w:line="540" w:lineRule="exact"/>
        <w:ind w:firstLine="562"/>
        <w:rPr>
          <w:rFonts w:ascii="仿宋_GB2312" w:eastAsia="仿宋_GB2312" w:hAnsi="宋体" w:cs="宋体" w:hint="eastAsia"/>
          <w:bCs/>
          <w:color w:val="000000"/>
          <w:sz w:val="28"/>
          <w:szCs w:val="28"/>
        </w:rPr>
      </w:pPr>
      <w:r w:rsidRPr="00067C2C">
        <w:rPr>
          <w:rFonts w:ascii="仿宋_GB2312" w:eastAsia="仿宋_GB2312" w:hAnsi="宋体" w:cs="宋体" w:hint="eastAsia"/>
          <w:bCs/>
          <w:color w:val="000000"/>
          <w:sz w:val="28"/>
          <w:szCs w:val="28"/>
        </w:rPr>
        <w:lastRenderedPageBreak/>
        <w:t>毛新展0370-5193389，15090588709。</w:t>
      </w:r>
    </w:p>
    <w:p w14:paraId="459248F1" w14:textId="77777777" w:rsidR="00067C2C" w:rsidRPr="00067C2C" w:rsidRDefault="00067C2C" w:rsidP="00067C2C">
      <w:pPr>
        <w:spacing w:line="320" w:lineRule="exact"/>
        <w:ind w:firstLineChars="200" w:firstLine="420"/>
        <w:rPr>
          <w:rFonts w:ascii="宋体" w:hAnsi="宋体" w:hint="eastAsia"/>
          <w:sz w:val="28"/>
          <w:szCs w:val="28"/>
        </w:rPr>
      </w:pPr>
      <w:r w:rsidRPr="00067C2C">
        <w:rPr>
          <w:rFonts w:ascii="仿宋_GB2312" w:eastAsia="仿宋_GB2312" w:hint="eastAsia"/>
        </w:rPr>
        <w:t xml:space="preserve">  </w:t>
      </w:r>
      <w:r w:rsidRPr="00067C2C">
        <w:rPr>
          <w:rFonts w:ascii="仿宋_GB2312" w:eastAsia="仿宋_GB2312" w:hAnsi="宋体" w:cs="宋体" w:hint="eastAsia"/>
          <w:bCs/>
          <w:color w:val="000000"/>
          <w:sz w:val="28"/>
          <w:szCs w:val="28"/>
        </w:rPr>
        <w:t>段  锦13781666597</w:t>
      </w:r>
    </w:p>
    <w:p w14:paraId="7C039CA1" w14:textId="77777777" w:rsidR="00287502" w:rsidRDefault="00287502">
      <w:pPr>
        <w:rPr>
          <w:rFonts w:ascii="黑体" w:eastAsia="黑体" w:hAnsi="黑体" w:hint="eastAsia"/>
          <w:sz w:val="32"/>
          <w:szCs w:val="32"/>
        </w:rPr>
      </w:pPr>
    </w:p>
    <w:p w14:paraId="519D6500" w14:textId="77777777" w:rsidR="00067C2C" w:rsidRDefault="00067C2C" w:rsidP="00067C2C">
      <w:pPr>
        <w:pStyle w:val="2"/>
      </w:pPr>
    </w:p>
    <w:p w14:paraId="1E3899C1" w14:textId="77777777" w:rsidR="00067C2C" w:rsidRDefault="00067C2C" w:rsidP="00067C2C">
      <w:pPr>
        <w:pStyle w:val="2"/>
      </w:pPr>
    </w:p>
    <w:p w14:paraId="33EA9ABA" w14:textId="77777777" w:rsidR="00CF4AF0" w:rsidRDefault="00CF4AF0" w:rsidP="00067C2C">
      <w:pPr>
        <w:pStyle w:val="2"/>
      </w:pPr>
    </w:p>
    <w:p w14:paraId="4A3EB048" w14:textId="77777777" w:rsidR="00CF4AF0" w:rsidRDefault="00CF4AF0" w:rsidP="00067C2C">
      <w:pPr>
        <w:pStyle w:val="2"/>
      </w:pPr>
    </w:p>
    <w:p w14:paraId="61FD8469" w14:textId="77777777" w:rsidR="00CF4AF0" w:rsidRDefault="00CF4AF0" w:rsidP="00067C2C">
      <w:pPr>
        <w:pStyle w:val="2"/>
      </w:pPr>
    </w:p>
    <w:p w14:paraId="55CD8A35" w14:textId="77777777" w:rsidR="00CF4AF0" w:rsidRDefault="00CF4AF0" w:rsidP="00067C2C">
      <w:pPr>
        <w:pStyle w:val="2"/>
      </w:pPr>
    </w:p>
    <w:p w14:paraId="493BF9D5" w14:textId="77777777" w:rsidR="00CF4AF0" w:rsidRDefault="00CF4AF0" w:rsidP="00067C2C">
      <w:pPr>
        <w:pStyle w:val="2"/>
      </w:pPr>
    </w:p>
    <w:p w14:paraId="1CEC2D68" w14:textId="77777777" w:rsidR="00CF4AF0" w:rsidRDefault="00CF4AF0" w:rsidP="00067C2C">
      <w:pPr>
        <w:pStyle w:val="2"/>
      </w:pPr>
    </w:p>
    <w:p w14:paraId="2B96BE22" w14:textId="77777777" w:rsidR="00CF4AF0" w:rsidRDefault="00CF4AF0" w:rsidP="00067C2C">
      <w:pPr>
        <w:pStyle w:val="2"/>
      </w:pPr>
    </w:p>
    <w:p w14:paraId="7FBB691A" w14:textId="28CAE2B7" w:rsidR="002F5184" w:rsidRPr="00287502" w:rsidRDefault="002F5184" w:rsidP="00420412">
      <w:pPr>
        <w:spacing w:line="560" w:lineRule="exact"/>
      </w:pPr>
    </w:p>
    <w:sectPr w:rsidR="002F5184" w:rsidRPr="00287502" w:rsidSect="00B1514A">
      <w:footerReference w:type="default" r:id="rId8"/>
      <w:pgSz w:w="11906" w:h="16838"/>
      <w:pgMar w:top="2098" w:right="1474" w:bottom="1984" w:left="1587" w:header="851" w:footer="992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CA006" w14:textId="77777777" w:rsidR="00DE05D9" w:rsidRDefault="00DE05D9">
      <w:r>
        <w:separator/>
      </w:r>
    </w:p>
  </w:endnote>
  <w:endnote w:type="continuationSeparator" w:id="0">
    <w:p w14:paraId="164D5C48" w14:textId="77777777" w:rsidR="00DE05D9" w:rsidRDefault="00DE0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3841" w14:textId="77777777" w:rsidR="00B1514A" w:rsidRDefault="00B1514A" w:rsidP="00B1514A">
    <w:pPr>
      <w:snapToGrid w:val="0"/>
      <w:ind w:right="360" w:firstLine="360"/>
      <w:jc w:val="right"/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42D141" wp14:editId="1D9B2BD7">
              <wp:simplePos x="0" y="0"/>
              <wp:positionH relativeFrom="margin">
                <wp:align>right</wp:align>
              </wp:positionH>
              <wp:positionV relativeFrom="paragraph">
                <wp:posOffset>-95415</wp:posOffset>
              </wp:positionV>
              <wp:extent cx="1828800" cy="1828800"/>
              <wp:effectExtent l="0" t="0" r="12065" b="17145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32624D" w14:textId="77777777" w:rsidR="00B1514A" w:rsidRDefault="00B1514A">
                          <w:pPr>
                            <w:pStyle w:val="a5"/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8128A8">
                            <w:rPr>
                              <w:rFonts w:ascii="宋体" w:hAnsi="宋体"/>
                              <w:noProof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="宋体" w:hAnsi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42D141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92.8pt;margin-top:-7.5pt;width:2in;height:2in;z-index:25166336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" filled="f" stroked="f">
              <v:textbox style="mso-fit-shape-to-text:t" inset="0,0,0,0">
                <w:txbxContent>
                  <w:p w14:paraId="7432624D" w14:textId="77777777" w:rsidR="00B1514A" w:rsidRDefault="00B1514A">
                    <w:pPr>
                      <w:pStyle w:val="a5"/>
                      <w:rPr>
                        <w:rFonts w:ascii="宋体" w:hAnsi="宋体" w:hint="eastAsia"/>
                        <w:sz w:val="28"/>
                        <w:szCs w:val="28"/>
                      </w:rPr>
                    </w:pP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separate"/>
                    </w:r>
                    <w:r w:rsidR="008128A8">
                      <w:rPr>
                        <w:rFonts w:ascii="宋体" w:hAnsi="宋体"/>
                        <w:noProof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="宋体" w:hAnsi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C96BC" w14:textId="77777777" w:rsidR="00DE05D9" w:rsidRDefault="00DE05D9">
      <w:r>
        <w:separator/>
      </w:r>
    </w:p>
  </w:footnote>
  <w:footnote w:type="continuationSeparator" w:id="0">
    <w:p w14:paraId="0EF15B4C" w14:textId="77777777" w:rsidR="00DE05D9" w:rsidRDefault="00DE05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C913A87"/>
    <w:rsid w:val="00067C2C"/>
    <w:rsid w:val="000730FC"/>
    <w:rsid w:val="001278F4"/>
    <w:rsid w:val="00251B68"/>
    <w:rsid w:val="00287502"/>
    <w:rsid w:val="002F5184"/>
    <w:rsid w:val="003C6FB9"/>
    <w:rsid w:val="00420412"/>
    <w:rsid w:val="00425312"/>
    <w:rsid w:val="004C3F5A"/>
    <w:rsid w:val="005C2203"/>
    <w:rsid w:val="005F1703"/>
    <w:rsid w:val="006232C9"/>
    <w:rsid w:val="006747D9"/>
    <w:rsid w:val="006F1C6D"/>
    <w:rsid w:val="0071172E"/>
    <w:rsid w:val="007303A5"/>
    <w:rsid w:val="007601A1"/>
    <w:rsid w:val="00767056"/>
    <w:rsid w:val="008128A8"/>
    <w:rsid w:val="009A5737"/>
    <w:rsid w:val="00A04304"/>
    <w:rsid w:val="00A5357D"/>
    <w:rsid w:val="00AA395B"/>
    <w:rsid w:val="00B1514A"/>
    <w:rsid w:val="00B16DCF"/>
    <w:rsid w:val="00BD4A0A"/>
    <w:rsid w:val="00C06616"/>
    <w:rsid w:val="00CB052C"/>
    <w:rsid w:val="00CF4AF0"/>
    <w:rsid w:val="00D2202E"/>
    <w:rsid w:val="00D906F4"/>
    <w:rsid w:val="00DB7A9B"/>
    <w:rsid w:val="00DE05D9"/>
    <w:rsid w:val="00E11A93"/>
    <w:rsid w:val="00F66D33"/>
    <w:rsid w:val="0A715A9C"/>
    <w:rsid w:val="13226FEE"/>
    <w:rsid w:val="274A6FBA"/>
    <w:rsid w:val="30DE023D"/>
    <w:rsid w:val="3C913A87"/>
    <w:rsid w:val="41B31E94"/>
    <w:rsid w:val="510D2EF6"/>
    <w:rsid w:val="56020A38"/>
    <w:rsid w:val="56F2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E832E52"/>
  <w15:docId w15:val="{BEDD5FD0-FE4B-4BBE-8217-F2D5C1AF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uiPriority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0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</w:style>
  <w:style w:type="paragraph" w:styleId="a3">
    <w:name w:val="Body Text Indent"/>
    <w:basedOn w:val="a"/>
    <w:qFormat/>
    <w:pPr>
      <w:ind w:firstLineChars="200" w:firstLine="420"/>
    </w:pPr>
  </w:style>
  <w:style w:type="paragraph" w:styleId="a4">
    <w:name w:val="Body Text"/>
    <w:basedOn w:val="a"/>
    <w:uiPriority w:val="1"/>
    <w:qFormat/>
    <w:rPr>
      <w:rFonts w:ascii="宋体" w:hAnsi="宋体" w:cs="宋体"/>
      <w:sz w:val="24"/>
      <w:lang w:val="zh-CN" w:bidi="zh-CN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qFormat/>
  </w:style>
  <w:style w:type="paragraph" w:styleId="a9">
    <w:name w:val="Balloon Text"/>
    <w:basedOn w:val="a"/>
    <w:link w:val="aa"/>
    <w:rsid w:val="00F66D33"/>
    <w:rPr>
      <w:sz w:val="18"/>
      <w:szCs w:val="18"/>
    </w:rPr>
  </w:style>
  <w:style w:type="character" w:customStyle="1" w:styleId="aa">
    <w:name w:val="批注框文本 字符"/>
    <w:basedOn w:val="a0"/>
    <w:link w:val="a9"/>
    <w:rsid w:val="00F66D33"/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List Paragraph"/>
    <w:basedOn w:val="a"/>
    <w:uiPriority w:val="99"/>
    <w:rsid w:val="00067C2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8CD951-B9A1-43FB-AE57-603A3837D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7</Pages>
  <Words>2314</Words>
  <Characters>2570</Characters>
  <Application>Microsoft Office Word</Application>
  <DocSecurity>0</DocSecurity>
  <Lines>171</Lines>
  <Paragraphs>143</Paragraphs>
  <ScaleCrop>false</ScaleCrop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嘴角、那抹淡笑‖</dc:creator>
  <cp:lastModifiedBy>Administrator</cp:lastModifiedBy>
  <cp:revision>13</cp:revision>
  <cp:lastPrinted>2026-09-13T02:20:00Z</cp:lastPrinted>
  <dcterms:created xsi:type="dcterms:W3CDTF">2026-09-07T02:31:00Z</dcterms:created>
  <dcterms:modified xsi:type="dcterms:W3CDTF">2026-10-08T05:43:00Z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 "value1", "ContentProducer": "001191110000802100433B11010001191110000802100433B11010", "ProduceID": "02780ea2-abb7-4855-aec5-422faa8e9071", "ReservedCode1": "72dafc97cd38b92e5f3d5cdfd0dfbbe6", "ContentPropagator": "001191110000802100433B11010001</vt:lpwstr>
  </property>
  <property fmtid="{D5CDD505-2E9C-101B-9397-08002B2CF9AE}" pid="3" name="KSOTemplateDocerSaveRecord">
    <vt:lpwstr>eyJoZGlkIjoiOTg2N2UzZWQ4MDEzZDVmZGYyZTA2NDBlNTdjMjNiNzkiLCJ1c2VySWQiOiI0MTk4NjE3NzYifQ==</vt:lpwstr>
  </property>
  <property fmtid="{D5CDD505-2E9C-101B-9397-08002B2CF9AE}" pid="4" name="KSOProductBuildVer">
    <vt:lpwstr>2052-12.1.0.28043</vt:lpwstr>
  </property>
  <property fmtid="{D5CDD505-2E9C-101B-9397-08002B2CF9AE}" pid="5" name="ICV">
    <vt:lpwstr>9F7EE2A0BA0E439FA47E39333E6C4DD5_13</vt:lpwstr>
  </property>
</Properties>
</file>