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C751E2">
      <w:pPr>
        <w:jc w:val="center"/>
        <w:rPr>
          <w:rFonts w:hint="eastAsia" w:asciiTheme="majorEastAsia" w:hAnsiTheme="majorEastAsia" w:eastAsiaTheme="majorEastAsia" w:cstheme="majorEastAsia"/>
          <w:b/>
          <w:bCs/>
          <w:sz w:val="32"/>
          <w:szCs w:val="32"/>
        </w:rPr>
      </w:pPr>
    </w:p>
    <w:p w14:paraId="35BD6DEF">
      <w:pPr>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救护大队</w:t>
      </w:r>
      <w:r>
        <w:rPr>
          <w:rFonts w:hint="eastAsia" w:asciiTheme="majorEastAsia" w:hAnsiTheme="majorEastAsia" w:eastAsiaTheme="majorEastAsia" w:cstheme="majorEastAsia"/>
          <w:b/>
          <w:bCs/>
          <w:sz w:val="44"/>
          <w:szCs w:val="44"/>
          <w:lang w:val="en-US" w:eastAsia="zh-CN"/>
        </w:rPr>
        <w:t>绳索救援套装</w:t>
      </w:r>
      <w:r>
        <w:rPr>
          <w:rFonts w:hint="eastAsia" w:asciiTheme="majorEastAsia" w:hAnsiTheme="majorEastAsia" w:eastAsiaTheme="majorEastAsia" w:cstheme="majorEastAsia"/>
          <w:b/>
          <w:bCs/>
          <w:sz w:val="44"/>
          <w:szCs w:val="44"/>
          <w:lang w:eastAsia="zh-CN"/>
        </w:rPr>
        <w:t>技术规格书</w:t>
      </w:r>
    </w:p>
    <w:p w14:paraId="751BD6D5">
      <w:pPr>
        <w:jc w:val="center"/>
        <w:rPr>
          <w:rFonts w:hint="eastAsia" w:asciiTheme="majorEastAsia" w:hAnsiTheme="majorEastAsia" w:eastAsiaTheme="majorEastAsia" w:cstheme="majorEastAsia"/>
          <w:b/>
          <w:bCs/>
          <w:sz w:val="44"/>
          <w:szCs w:val="44"/>
        </w:rPr>
      </w:pPr>
    </w:p>
    <w:p w14:paraId="525D69DD">
      <w:pPr>
        <w:jc w:val="both"/>
        <w:rPr>
          <w:rFonts w:hint="eastAsia" w:asciiTheme="majorEastAsia" w:hAnsiTheme="majorEastAsia" w:eastAsiaTheme="majorEastAsia" w:cstheme="majorEastAsia"/>
          <w:b/>
          <w:bCs/>
          <w:sz w:val="36"/>
          <w:szCs w:val="36"/>
        </w:rPr>
      </w:pPr>
    </w:p>
    <w:p w14:paraId="6763CB38">
      <w:pPr>
        <w:jc w:val="both"/>
        <w:rPr>
          <w:rFonts w:hint="eastAsia" w:asciiTheme="majorEastAsia" w:hAnsiTheme="majorEastAsia" w:eastAsiaTheme="majorEastAsia" w:cstheme="majorEastAsia"/>
          <w:b/>
          <w:bCs/>
          <w:sz w:val="36"/>
          <w:szCs w:val="36"/>
        </w:rPr>
      </w:pPr>
    </w:p>
    <w:p w14:paraId="2A930A6A">
      <w:pPr>
        <w:ind w:firstLine="1280" w:firstLineChars="400"/>
        <w:jc w:val="both"/>
        <w:rPr>
          <w:rFonts w:hint="eastAsia" w:asciiTheme="majorEastAsia" w:hAnsiTheme="majorEastAsia" w:eastAsiaTheme="majorEastAsia" w:cstheme="majorEastAsia"/>
          <w:b w:val="0"/>
          <w:bCs w:val="0"/>
          <w:sz w:val="32"/>
          <w:szCs w:val="32"/>
          <w:lang w:eastAsia="zh-CN"/>
        </w:rPr>
      </w:pPr>
      <w:r>
        <w:rPr>
          <w:rFonts w:hint="eastAsia" w:asciiTheme="majorEastAsia" w:hAnsiTheme="majorEastAsia" w:eastAsiaTheme="majorEastAsia" w:cstheme="majorEastAsia"/>
          <w:b w:val="0"/>
          <w:bCs w:val="0"/>
          <w:sz w:val="32"/>
          <w:szCs w:val="32"/>
          <w:lang w:eastAsia="zh-CN"/>
        </w:rPr>
        <w:t>编</w:t>
      </w:r>
      <w:r>
        <w:rPr>
          <w:rFonts w:hint="eastAsia" w:asciiTheme="majorEastAsia" w:hAnsiTheme="majorEastAsia" w:eastAsiaTheme="majorEastAsia" w:cstheme="majorEastAsia"/>
          <w:b w:val="0"/>
          <w:bCs w:val="0"/>
          <w:sz w:val="32"/>
          <w:szCs w:val="32"/>
          <w:lang w:val="en-US" w:eastAsia="zh-CN"/>
        </w:rPr>
        <w:t xml:space="preserve">  </w:t>
      </w:r>
      <w:r>
        <w:rPr>
          <w:rFonts w:hint="eastAsia" w:asciiTheme="majorEastAsia" w:hAnsiTheme="majorEastAsia" w:eastAsiaTheme="majorEastAsia" w:cstheme="majorEastAsia"/>
          <w:b w:val="0"/>
          <w:bCs w:val="0"/>
          <w:sz w:val="32"/>
          <w:szCs w:val="32"/>
          <w:lang w:eastAsia="zh-CN"/>
        </w:rPr>
        <w:t>制</w:t>
      </w:r>
      <w:r>
        <w:rPr>
          <w:rFonts w:hint="eastAsia" w:asciiTheme="majorEastAsia" w:hAnsiTheme="majorEastAsia" w:eastAsiaTheme="majorEastAsia" w:cstheme="majorEastAsia"/>
          <w:b w:val="0"/>
          <w:bCs w:val="0"/>
          <w:sz w:val="32"/>
          <w:szCs w:val="32"/>
          <w:lang w:val="en-US" w:eastAsia="zh-CN"/>
        </w:rPr>
        <w:t xml:space="preserve">  </w:t>
      </w:r>
      <w:r>
        <w:rPr>
          <w:rFonts w:hint="eastAsia" w:asciiTheme="majorEastAsia" w:hAnsiTheme="majorEastAsia" w:eastAsiaTheme="majorEastAsia" w:cstheme="majorEastAsia"/>
          <w:b w:val="0"/>
          <w:bCs w:val="0"/>
          <w:sz w:val="32"/>
          <w:szCs w:val="32"/>
          <w:lang w:eastAsia="zh-CN"/>
        </w:rPr>
        <w:t>人：</w:t>
      </w:r>
    </w:p>
    <w:p w14:paraId="50FD534B">
      <w:pPr>
        <w:ind w:firstLine="1280" w:firstLineChars="400"/>
        <w:jc w:val="both"/>
        <w:rPr>
          <w:rFonts w:hint="eastAsia" w:asciiTheme="majorEastAsia" w:hAnsiTheme="majorEastAsia" w:eastAsiaTheme="majorEastAsia" w:cstheme="majorEastAsia"/>
          <w:b w:val="0"/>
          <w:bCs w:val="0"/>
          <w:sz w:val="32"/>
          <w:szCs w:val="32"/>
          <w:lang w:eastAsia="zh-CN"/>
        </w:rPr>
      </w:pPr>
    </w:p>
    <w:p w14:paraId="03B782C7">
      <w:pPr>
        <w:ind w:firstLine="1280" w:firstLineChars="400"/>
        <w:jc w:val="both"/>
        <w:rPr>
          <w:rFonts w:hint="eastAsia" w:asciiTheme="majorEastAsia" w:hAnsiTheme="majorEastAsia" w:eastAsiaTheme="majorEastAsia" w:cstheme="majorEastAsia"/>
          <w:b w:val="0"/>
          <w:bCs w:val="0"/>
          <w:sz w:val="32"/>
          <w:szCs w:val="32"/>
          <w:lang w:eastAsia="zh-CN"/>
        </w:rPr>
      </w:pPr>
    </w:p>
    <w:p w14:paraId="14E4F844">
      <w:pPr>
        <w:ind w:firstLine="1280" w:firstLineChars="400"/>
        <w:jc w:val="both"/>
        <w:rPr>
          <w:rFonts w:hint="eastAsia" w:asciiTheme="majorEastAsia" w:hAnsiTheme="majorEastAsia" w:eastAsiaTheme="majorEastAsia" w:cstheme="majorEastAsia"/>
          <w:b w:val="0"/>
          <w:bCs w:val="0"/>
          <w:sz w:val="32"/>
          <w:szCs w:val="32"/>
          <w:lang w:eastAsia="zh-CN"/>
        </w:rPr>
      </w:pPr>
      <w:r>
        <w:rPr>
          <w:rFonts w:hint="eastAsia" w:asciiTheme="majorEastAsia" w:hAnsiTheme="majorEastAsia" w:eastAsiaTheme="majorEastAsia" w:cstheme="majorEastAsia"/>
          <w:b w:val="0"/>
          <w:bCs w:val="0"/>
          <w:sz w:val="32"/>
          <w:szCs w:val="32"/>
          <w:lang w:eastAsia="zh-CN"/>
        </w:rPr>
        <w:t>综合办主任：</w:t>
      </w:r>
    </w:p>
    <w:p w14:paraId="6760BC87">
      <w:pPr>
        <w:ind w:firstLine="1280" w:firstLineChars="400"/>
        <w:jc w:val="both"/>
        <w:rPr>
          <w:rFonts w:hint="eastAsia" w:asciiTheme="majorEastAsia" w:hAnsiTheme="majorEastAsia" w:eastAsiaTheme="majorEastAsia" w:cstheme="majorEastAsia"/>
          <w:b w:val="0"/>
          <w:bCs w:val="0"/>
          <w:sz w:val="32"/>
          <w:szCs w:val="32"/>
          <w:lang w:eastAsia="zh-CN"/>
        </w:rPr>
      </w:pPr>
    </w:p>
    <w:p w14:paraId="794BDA62">
      <w:pPr>
        <w:ind w:firstLine="1280" w:firstLineChars="400"/>
        <w:jc w:val="both"/>
        <w:rPr>
          <w:rFonts w:hint="eastAsia" w:asciiTheme="majorEastAsia" w:hAnsiTheme="majorEastAsia" w:eastAsiaTheme="majorEastAsia" w:cstheme="majorEastAsia"/>
          <w:b w:val="0"/>
          <w:bCs w:val="0"/>
          <w:sz w:val="32"/>
          <w:szCs w:val="32"/>
          <w:lang w:eastAsia="zh-CN"/>
        </w:rPr>
      </w:pPr>
    </w:p>
    <w:p w14:paraId="70FD02BE">
      <w:pPr>
        <w:ind w:firstLine="1280" w:firstLineChars="400"/>
        <w:jc w:val="both"/>
        <w:rPr>
          <w:rFonts w:hint="eastAsia" w:asciiTheme="majorEastAsia" w:hAnsiTheme="majorEastAsia" w:eastAsiaTheme="majorEastAsia" w:cstheme="majorEastAsia"/>
          <w:b w:val="0"/>
          <w:bCs w:val="0"/>
          <w:sz w:val="32"/>
          <w:szCs w:val="32"/>
          <w:lang w:eastAsia="zh-CN"/>
        </w:rPr>
      </w:pPr>
      <w:r>
        <w:rPr>
          <w:rFonts w:hint="eastAsia" w:asciiTheme="majorEastAsia" w:hAnsiTheme="majorEastAsia" w:eastAsiaTheme="majorEastAsia" w:cstheme="majorEastAsia"/>
          <w:b w:val="0"/>
          <w:bCs w:val="0"/>
          <w:sz w:val="32"/>
          <w:szCs w:val="32"/>
          <w:lang w:eastAsia="zh-CN"/>
        </w:rPr>
        <w:t>单位负责人：</w:t>
      </w:r>
    </w:p>
    <w:p w14:paraId="3A2BE426">
      <w:pPr>
        <w:jc w:val="center"/>
        <w:rPr>
          <w:rFonts w:hint="eastAsia"/>
          <w:b/>
          <w:bCs/>
          <w:sz w:val="44"/>
          <w:szCs w:val="44"/>
          <w:lang w:eastAsia="zh-CN"/>
        </w:rPr>
      </w:pPr>
    </w:p>
    <w:p w14:paraId="2FC69ECF">
      <w:pPr>
        <w:jc w:val="center"/>
        <w:rPr>
          <w:rFonts w:hint="eastAsia"/>
          <w:b/>
          <w:bCs/>
          <w:sz w:val="44"/>
          <w:szCs w:val="44"/>
          <w:lang w:eastAsia="zh-CN"/>
        </w:rPr>
      </w:pPr>
    </w:p>
    <w:p w14:paraId="1A57C2CC">
      <w:pPr>
        <w:jc w:val="center"/>
        <w:rPr>
          <w:rFonts w:hint="eastAsia"/>
          <w:b/>
          <w:bCs/>
          <w:sz w:val="44"/>
          <w:szCs w:val="44"/>
          <w:lang w:eastAsia="zh-CN"/>
        </w:rPr>
      </w:pPr>
    </w:p>
    <w:p w14:paraId="1FE03954">
      <w:pPr>
        <w:jc w:val="center"/>
        <w:rPr>
          <w:rFonts w:hint="eastAsia"/>
          <w:b/>
          <w:bCs/>
          <w:sz w:val="44"/>
          <w:szCs w:val="44"/>
          <w:lang w:eastAsia="zh-CN"/>
        </w:rPr>
      </w:pPr>
    </w:p>
    <w:p w14:paraId="7F6AFFEF">
      <w:pPr>
        <w:jc w:val="center"/>
        <w:rPr>
          <w:rFonts w:hint="eastAsia"/>
          <w:b/>
          <w:bCs/>
          <w:sz w:val="44"/>
          <w:szCs w:val="44"/>
          <w:lang w:eastAsia="zh-CN"/>
        </w:rPr>
      </w:pPr>
    </w:p>
    <w:p w14:paraId="5AF05291">
      <w:pPr>
        <w:jc w:val="center"/>
        <w:rPr>
          <w:rFonts w:hint="eastAsia"/>
          <w:b/>
          <w:bCs/>
          <w:sz w:val="44"/>
          <w:szCs w:val="44"/>
          <w:lang w:eastAsia="zh-CN"/>
        </w:rPr>
      </w:pPr>
    </w:p>
    <w:p w14:paraId="098E69FF">
      <w:pPr>
        <w:jc w:val="both"/>
        <w:rPr>
          <w:rFonts w:hint="eastAsia"/>
          <w:b/>
          <w:bCs/>
          <w:sz w:val="44"/>
          <w:szCs w:val="44"/>
          <w:lang w:eastAsia="zh-CN"/>
        </w:rPr>
      </w:pPr>
    </w:p>
    <w:p w14:paraId="7DCCAACB">
      <w:pPr>
        <w:jc w:val="center"/>
        <w:rPr>
          <w:rFonts w:hint="eastAsia"/>
          <w:b/>
          <w:bCs/>
          <w:sz w:val="44"/>
          <w:szCs w:val="44"/>
          <w:lang w:eastAsia="zh-CN"/>
        </w:rPr>
      </w:pPr>
    </w:p>
    <w:p w14:paraId="6CFD6E0C">
      <w:pPr>
        <w:ind w:firstLine="1920" w:firstLineChars="600"/>
        <w:jc w:val="both"/>
        <w:rPr>
          <w:rFonts w:hint="default" w:asciiTheme="majorEastAsia" w:hAnsiTheme="majorEastAsia" w:eastAsiaTheme="majorEastAsia" w:cstheme="majorEastAsia"/>
          <w:b w:val="0"/>
          <w:bCs w:val="0"/>
          <w:sz w:val="32"/>
          <w:szCs w:val="32"/>
          <w:lang w:val="en-US" w:eastAsia="zh-CN"/>
        </w:rPr>
        <w:sectPr>
          <w:footerReference r:id="rId3" w:type="default"/>
          <w:pgSz w:w="11906" w:h="16838"/>
          <w:pgMar w:top="1440" w:right="1800" w:bottom="1440" w:left="1800" w:header="851" w:footer="992" w:gutter="0"/>
          <w:cols w:space="425" w:num="1"/>
          <w:docGrid w:type="lines" w:linePitch="312" w:charSpace="0"/>
        </w:sectPr>
      </w:pPr>
      <w:r>
        <w:rPr>
          <w:rFonts w:hint="eastAsia" w:asciiTheme="majorEastAsia" w:hAnsiTheme="majorEastAsia" w:eastAsiaTheme="majorEastAsia" w:cstheme="majorEastAsia"/>
          <w:b w:val="0"/>
          <w:bCs w:val="0"/>
          <w:sz w:val="32"/>
          <w:szCs w:val="32"/>
          <w:lang w:eastAsia="zh-CN"/>
        </w:rPr>
        <w:t>编制日期：</w:t>
      </w:r>
      <w:r>
        <w:rPr>
          <w:rFonts w:hint="eastAsia" w:asciiTheme="majorEastAsia" w:hAnsiTheme="majorEastAsia" w:eastAsiaTheme="majorEastAsia" w:cstheme="majorEastAsia"/>
          <w:b w:val="0"/>
          <w:bCs w:val="0"/>
          <w:sz w:val="32"/>
          <w:szCs w:val="32"/>
          <w:lang w:val="en-US" w:eastAsia="zh-CN"/>
        </w:rPr>
        <w:t>2026年8月5日</w:t>
      </w:r>
    </w:p>
    <w:p w14:paraId="0170431C">
      <w:pPr>
        <w:jc w:val="center"/>
        <w:rPr>
          <w:rFonts w:hint="eastAsia" w:asciiTheme="minorEastAsia" w:hAnsiTheme="minorEastAsia" w:eastAsiaTheme="minorEastAsia"/>
          <w:b/>
          <w:sz w:val="32"/>
          <w:szCs w:val="32"/>
        </w:rPr>
      </w:pPr>
      <w:r>
        <w:rPr>
          <w:rFonts w:hint="eastAsia"/>
          <w:b/>
          <w:bCs/>
          <w:sz w:val="44"/>
          <w:szCs w:val="44"/>
          <w:lang w:eastAsia="zh-CN"/>
        </w:rPr>
        <w:t>救护大队救援</w:t>
      </w:r>
      <w:r>
        <w:rPr>
          <w:rFonts w:hint="eastAsia"/>
          <w:b/>
          <w:bCs/>
          <w:sz w:val="44"/>
          <w:szCs w:val="44"/>
          <w:lang w:val="en-US" w:eastAsia="zh-CN"/>
        </w:rPr>
        <w:t>救援套装</w:t>
      </w:r>
      <w:r>
        <w:rPr>
          <w:rFonts w:hint="eastAsia"/>
          <w:b/>
          <w:bCs/>
          <w:sz w:val="44"/>
          <w:szCs w:val="44"/>
          <w:lang w:eastAsia="zh-CN"/>
        </w:rPr>
        <w:t>技术规格书</w:t>
      </w:r>
    </w:p>
    <w:p w14:paraId="0DFF4016">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hint="default" w:asciiTheme="majorEastAsia" w:hAnsiTheme="majorEastAsia" w:eastAsiaTheme="majorEastAsia" w:cstheme="majorEastAsia"/>
          <w:b/>
          <w:bCs/>
          <w:sz w:val="32"/>
          <w:szCs w:val="32"/>
          <w:lang w:val="en-US" w:eastAsia="zh-CN"/>
        </w:rPr>
      </w:pPr>
      <w:r>
        <w:rPr>
          <w:rFonts w:hint="eastAsia" w:asciiTheme="majorEastAsia" w:hAnsiTheme="majorEastAsia" w:eastAsiaTheme="majorEastAsia" w:cstheme="majorEastAsia"/>
          <w:b/>
          <w:bCs/>
          <w:sz w:val="32"/>
          <w:szCs w:val="32"/>
          <w:lang w:val="en-US" w:eastAsia="zh-CN"/>
        </w:rPr>
        <w:t>一．绳索救援竖井套装技术参数：（4套）</w:t>
      </w:r>
    </w:p>
    <w:p w14:paraId="6AFEC44A">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1.手套：</w:t>
      </w:r>
    </w:p>
    <w:p w14:paraId="50A74B6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（1）使用特殊的人体工学版型，采用柔软舒适的皮革，轻盈佩戴后与手掌紧密贴合。</w:t>
      </w:r>
    </w:p>
    <w:p w14:paraId="6BFE334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（2）手掌手指特殊无缝拼接，避免拼缝对手指的长时间挤压 造成对手指的损伤。</w:t>
      </w:r>
    </w:p>
    <w:p w14:paraId="73315EE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（3）手背采用柔软透气的芳纶防静电针织面料，配合关节 缓冲防撞内衬保护，手掌采用柔软耐磨的进口天然小牛皮/山羊皮，兼备柔软性和耐磨性。</w:t>
      </w:r>
    </w:p>
    <w:p w14:paraId="10667C7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（4）手心特制网状防滑山羊皮加固，增加对手掌保护性，同时为绳索攀爬提供强大的抓握力。</w:t>
      </w:r>
    </w:p>
    <w:p w14:paraId="4CA3AD0D">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2.安全带：</w:t>
      </w:r>
    </w:p>
    <w:p w14:paraId="150A84B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（1）符合标准：EN 358：2018， EN 361：2002， EN 813：2008；</w:t>
      </w:r>
    </w:p>
    <w:p w14:paraId="123889B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（2）额定负载：140kg；</w:t>
      </w:r>
    </w:p>
    <w:p w14:paraId="3433CC5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（3）材质：聚酯、铝、钢；</w:t>
      </w:r>
    </w:p>
    <w:p w14:paraId="31EFBF7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（4）符合人体工程学，配备六个连接点，专为绳索作业而开发；</w:t>
      </w:r>
    </w:p>
    <w:p w14:paraId="2A495D6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（5）配有一体式原厂胸部上升器；</w:t>
      </w:r>
    </w:p>
    <w:p w14:paraId="0DEAEB0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（6）肩部、腿部配有衬垫；</w:t>
      </w:r>
    </w:p>
    <w:p w14:paraId="30FD5B0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（7）肩部和腿部均配有快速插接扣，穿戴方便；</w:t>
      </w:r>
    </w:p>
    <w:p w14:paraId="396B302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（8）宽衬垫腰部支撑结构，带有透气的网眼，提高了长时间悬挂作业的舒适度；</w:t>
      </w:r>
    </w:p>
    <w:p w14:paraId="767BC91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（9）带有衬垫的肩带能防止磨损到操作者的脖子；</w:t>
      </w:r>
    </w:p>
    <w:p w14:paraId="6D339CA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（10）可调节的宽大腿环能让操作者向上向下调整，保证坐姿时的舒适性。</w:t>
      </w:r>
    </w:p>
    <w:p w14:paraId="5F93982E">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3.静力绳及绳包：</w:t>
      </w:r>
    </w:p>
    <w:p w14:paraId="21DD861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（1）标准：EN 1891 A；</w:t>
      </w:r>
    </w:p>
    <w:p w14:paraId="76A7670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（2）最小破断负载：33.5 KN；</w:t>
      </w:r>
    </w:p>
    <w:p w14:paraId="610F2CB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（3）静态延伸率：3.8%；</w:t>
      </w:r>
    </w:p>
    <w:p w14:paraId="31C8478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（4）直径：11mm；</w:t>
      </w:r>
    </w:p>
    <w:p w14:paraId="065FB6A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（5）长度：100m；</w:t>
      </w:r>
    </w:p>
    <w:p w14:paraId="4ACAD2F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（6）尺寸：直径 30cm，高 40cm</w:t>
      </w:r>
    </w:p>
    <w:p w14:paraId="53B52D1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（7）可装绳索、工具等，侧面有透明名片插袋。</w:t>
      </w:r>
    </w:p>
    <w:p w14:paraId="2DAEE73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（8）承重：20kg</w:t>
      </w:r>
    </w:p>
    <w:p w14:paraId="362E149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（9）容量：28L</w:t>
      </w:r>
    </w:p>
    <w:p w14:paraId="1596E679">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4.下降器：</w:t>
      </w:r>
    </w:p>
    <w:p w14:paraId="0DFAAAD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（1）符合标准：DIN EN 12841-C:2006， EN 341-2A:2011；</w:t>
      </w:r>
    </w:p>
    <w:p w14:paraId="429AA99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（2）下降速度：2 m/s；</w:t>
      </w:r>
    </w:p>
    <w:p w14:paraId="4495104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（3）最大负载人数：2 人；</w:t>
      </w:r>
    </w:p>
    <w:p w14:paraId="1A804E9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（4）最大负载：250kg；</w:t>
      </w:r>
    </w:p>
    <w:p w14:paraId="7EA73D4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（5）适用绳索：10-12mm；</w:t>
      </w:r>
    </w:p>
    <w:p w14:paraId="76C033D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（6）使用温度：－30℃~ 60℃；</w:t>
      </w:r>
    </w:p>
    <w:p w14:paraId="54739A8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（7）尺寸：47x79x175mm；</w:t>
      </w:r>
    </w:p>
    <w:p w14:paraId="42B2408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（8）重量：0.51kg；</w:t>
      </w:r>
    </w:p>
    <w:p w14:paraId="2E1A1136">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（9）材料：铝、钢；</w:t>
      </w:r>
    </w:p>
    <w:p w14:paraId="6F3E6BB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（10）坚固耐用：由高达 100％的金属制成—没有易碎的塑料零件；</w:t>
      </w:r>
    </w:p>
    <w:p w14:paraId="566FFDC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（11）自动锁定功能。可自动锁死操作杆，具有防恐慌功能，可以防止工作中因无意中触碰导致手柄打开；</w:t>
      </w:r>
    </w:p>
    <w:p w14:paraId="49F0CF8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（12）绳索安装简单直观，无需从安全带的主锁上取下。设计的绳索路径可以防止扭曲和打结，以及过度磨损和撕裂。</w:t>
      </w:r>
    </w:p>
    <w:p w14:paraId="5047561A">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5.双滑轮：</w:t>
      </w:r>
    </w:p>
    <w:p w14:paraId="7A4270A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（1）使用移动侧板的双滑轮，设计用于提拉系统和变向；</w:t>
      </w:r>
    </w:p>
    <w:p w14:paraId="503FFC5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（2）上部大的连接孔可同时挂入三把主锁，底部连接孔可连接一个主锁；</w:t>
      </w:r>
    </w:p>
    <w:p w14:paraId="17A92CD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（3）使用抛光轻合金制造；</w:t>
      </w:r>
    </w:p>
    <w:p w14:paraId="1D9F7D0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（4）采用滚珠轴承；</w:t>
      </w:r>
    </w:p>
    <w:p w14:paraId="2A81C64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（5）效率：96%；</w:t>
      </w:r>
    </w:p>
    <w:p w14:paraId="4F3E430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（6）使用 Ø ≤ 13 mm 绳索，强度：50KN；</w:t>
      </w:r>
    </w:p>
    <w:p w14:paraId="3A259FB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（7）重量：330 克。</w:t>
      </w:r>
    </w:p>
    <w:p w14:paraId="13B9D73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（8）独立检测，符合标准：EN12278:2007。</w:t>
      </w:r>
    </w:p>
    <w:p w14:paraId="1802BAFC">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6.制动器：</w:t>
      </w:r>
    </w:p>
    <w:p w14:paraId="6070439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拥有独特锁定系统的 ASAP 是高空作业人员坠落保护的首选。在正常使用下，设备不需要人为干预，可跟随使用者在绳索上自由移动。如遇冲击受力或突然加速，ASAP 将在绳索上锁定并制停使用者的下坠。根据不同用途，ASAP 也可与 ASAP’SORBER 或ASAP’SORBER AXESS 势能吸收器一起使用，让备份绳索与作业面保持一定距离。势能吸收器配有撕裂式扁带，装在一个防磨损的两端皆可开启的小包里，同时也方便定期检查。可以用于双人救援，最大负重250kg。</w:t>
      </w:r>
    </w:p>
    <w:p w14:paraId="69C9DC30">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7.锚板：</w:t>
      </w:r>
    </w:p>
    <w:p w14:paraId="40C99816">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（1）认证：CE；</w:t>
      </w:r>
    </w:p>
    <w:p w14:paraId="678E9F0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（2）重量：0.219 KG；</w:t>
      </w:r>
    </w:p>
    <w:p w14:paraId="3FDBC8D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（3）最小破断负载：40 KN；</w:t>
      </w:r>
    </w:p>
    <w:p w14:paraId="3B9B48C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（4）材质：铝；</w:t>
      </w:r>
    </w:p>
    <w:p w14:paraId="7CE0895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（5）经过阳极氧化处理，更加耐用。</w:t>
      </w:r>
    </w:p>
    <w:p w14:paraId="305D66E7">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8.绑带：</w:t>
      </w:r>
    </w:p>
    <w:p w14:paraId="3A08947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（1）符合 EN795；</w:t>
      </w:r>
    </w:p>
    <w:p w14:paraId="2B99153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（2）最小破断载荷：22KN；</w:t>
      </w:r>
    </w:p>
    <w:p w14:paraId="3A08B23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（3）长度 1.2m；</w:t>
      </w:r>
    </w:p>
    <w:p w14:paraId="7ED63C8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（4）重量：100g；</w:t>
      </w:r>
    </w:p>
    <w:p w14:paraId="79DF025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（5）吊带由高强度聚酰胺制成，同时具有抗紫外线和超强耐磨性。</w:t>
      </w:r>
    </w:p>
    <w:p w14:paraId="22B3F7B2">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9.钩环：</w:t>
      </w:r>
    </w:p>
    <w:p w14:paraId="220CC1A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（1）标准：EN 362；</w:t>
      </w:r>
    </w:p>
    <w:p w14:paraId="6A5DCD1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（2）最小破断负载：25 KN；</w:t>
      </w:r>
    </w:p>
    <w:p w14:paraId="3AB89CC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（3）重量:0.18 KG；</w:t>
      </w:r>
    </w:p>
    <w:p w14:paraId="2B52386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（4）材质：钢；</w:t>
      </w:r>
    </w:p>
    <w:p w14:paraId="6D4B142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（5）最大开口：18mm；</w:t>
      </w:r>
    </w:p>
    <w:p w14:paraId="6AECF0F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（6）开闭系统：螺纹锁。</w:t>
      </w:r>
    </w:p>
    <w:p w14:paraId="345BA9FB">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10.限位绳：</w:t>
      </w:r>
    </w:p>
    <w:p w14:paraId="5122D8A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（1）标准：EN 358, EN 353-2；</w:t>
      </w:r>
    </w:p>
    <w:p w14:paraId="0AF7183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（2）绳索直接：12 mm；</w:t>
      </w:r>
    </w:p>
    <w:p w14:paraId="7C0DC77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（3）材质：尼龙、铝；</w:t>
      </w:r>
    </w:p>
    <w:p w14:paraId="7056C2C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（4）尺寸：1.5 m；</w:t>
      </w:r>
    </w:p>
    <w:p w14:paraId="72E18F2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（5）可调节式连接绳；</w:t>
      </w:r>
    </w:p>
    <w:p w14:paraId="47C9BEE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（6）符合人体工程学设计。</w:t>
      </w:r>
    </w:p>
    <w:p w14:paraId="7157D29F">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11.多功能卷式担架（SKED）：</w:t>
      </w:r>
    </w:p>
    <w:p w14:paraId="735DEB3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（1）1.最大工作负载：300 KG；</w:t>
      </w:r>
    </w:p>
    <w:p w14:paraId="0B81D1A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（2）尺寸:长×宽×高：2×0.6×0.3 m；</w:t>
      </w:r>
    </w:p>
    <w:p w14:paraId="701BF81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（3）重量：7.3 KG；</w:t>
      </w:r>
    </w:p>
    <w:p w14:paraId="278C0CC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（4）配双肩包防水背包可方便携带；</w:t>
      </w:r>
    </w:p>
    <w:p w14:paraId="0DDC450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特点：重量轻、携带方便、带脊椎保护功能、自带快插式伤员固定带，可快速展开和收紧，有效降低救援时间。软担架可以卷曲，特别适合于难以进入区域，狭窄空间内，深井和高山抢险救援领域。软担架可水平、倾斜和垂直使用。由于其管状形状使其具有优异的稳定性。通过在肩部，胸部， 骨盆和脊柱等部位的固定件使被救人员得到很好的保护。该 产品的最大优点是运输体积小，重量轻，在现场简单快速组装，灵活多变的救援方式。</w:t>
      </w:r>
    </w:p>
    <w:p w14:paraId="2A8D84D7">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12.脊柱板：</w:t>
      </w:r>
    </w:p>
    <w:p w14:paraId="2E8D078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（1）最大工作负载：1 人；</w:t>
      </w:r>
    </w:p>
    <w:p w14:paraId="3EC7245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（2）尺寸：长×宽×高：1.85×0.45×0.06m；</w:t>
      </w:r>
    </w:p>
    <w:p w14:paraId="6085032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（3）重量：7 KG；</w:t>
      </w:r>
    </w:p>
    <w:p w14:paraId="5172254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（4）材质：PP(聚丙烯)；</w:t>
      </w:r>
    </w:p>
    <w:p w14:paraId="115B2709">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13.边角保护器：</w:t>
      </w:r>
    </w:p>
    <w:p w14:paraId="1345FCF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（1）材质：钢</w:t>
      </w:r>
    </w:p>
    <w:p w14:paraId="6E66302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（2）重量：0.86 KG</w:t>
      </w:r>
    </w:p>
    <w:p w14:paraId="61719DF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（3）高强度钢制作，导向式设计，有效固定绳索位置。</w:t>
      </w:r>
    </w:p>
    <w:p w14:paraId="4344B08D">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14.保温毯：</w:t>
      </w:r>
    </w:p>
    <w:p w14:paraId="004C5F8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（1）金银双色，适合多场景；</w:t>
      </w:r>
    </w:p>
    <w:p w14:paraId="6E1FA44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（2）PET 镀铝膜，结实耐磨；</w:t>
      </w:r>
    </w:p>
    <w:p w14:paraId="0824C75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（3）规格：160×210cm。</w:t>
      </w:r>
    </w:p>
    <w:p w14:paraId="1C9829CB">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15.急救包：</w:t>
      </w:r>
    </w:p>
    <w:p w14:paraId="1B85151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包含塑柄剪刀（12.7cm）1 把，吸收垫（5cmx5cm）5 片，眉夹（8.8cm）1 个，安全别针（3.6cm）4 枚，创可贴 10 片，擦手巾（15x15cm）2 片，蓝色自粘绷带（75x4.5cm）1 卷，无纺布胶带（2.5x5cm），三角巾（96x96x136cm）1 块，丁腈手套 1 付；急救包配有魔术贴挂钩，可挂在背包上，且配有分装小袋，方便使用时寻找不同的急救用品。</w:t>
      </w:r>
    </w:p>
    <w:p w14:paraId="2976DC62">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hint="default" w:asciiTheme="majorEastAsia" w:hAnsiTheme="majorEastAsia" w:eastAsiaTheme="majorEastAsia" w:cstheme="majorEastAsia"/>
          <w:b/>
          <w:bCs/>
          <w:sz w:val="32"/>
          <w:szCs w:val="32"/>
          <w:lang w:val="en-US" w:eastAsia="zh-CN"/>
        </w:rPr>
      </w:pPr>
      <w:r>
        <w:rPr>
          <w:rFonts w:hint="eastAsia" w:asciiTheme="majorEastAsia" w:hAnsiTheme="majorEastAsia" w:eastAsiaTheme="majorEastAsia" w:cstheme="majorEastAsia"/>
          <w:b/>
          <w:bCs/>
          <w:sz w:val="32"/>
          <w:szCs w:val="32"/>
          <w:lang w:val="en-US" w:eastAsia="zh-CN"/>
        </w:rPr>
        <w:t>二．绳索救援攀绳套装：（1套）</w:t>
      </w:r>
    </w:p>
    <w:p w14:paraId="37DC09DC">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1.安全帽：</w:t>
      </w:r>
    </w:p>
    <w:p w14:paraId="3A1C20A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（1）符合 EN 397:2012+A1:2012 和 EN 12492:2012 标准 </w:t>
      </w:r>
    </w:p>
    <w:p w14:paraId="2487D8C6">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（2）重量≤450g</w:t>
      </w:r>
    </w:p>
    <w:p w14:paraId="487FDEA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（3）使用温度：-30°C-+50°C </w:t>
      </w:r>
    </w:p>
    <w:p w14:paraId="773DB4F6">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（4）尺寸可调节:54-63cm </w:t>
      </w:r>
    </w:p>
    <w:p w14:paraId="5ED7DC3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（5）下颚带闭合方式为磁吸式快拆结构，可单手打开和关闭，能够自动接合和保证安全； </w:t>
      </w:r>
    </w:p>
    <w:p w14:paraId="5D34175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（6）所有与头部接触的内部衬垫以及下颚带，为可徒手快速拆卸、清洗及更换的设计。（提供各部件独立编号图） </w:t>
      </w:r>
    </w:p>
    <w:p w14:paraId="35A0991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（7）材质:聚碳酸酯 PC，丙烯腈丁二烯苯乙烯 ABS，发泡聚苯乙烯 EPS； </w:t>
      </w:r>
    </w:p>
    <w:p w14:paraId="2A3BA40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（8）齿形支架，多个头盔夹和插槽可以连接头灯，听力保护罩 和颈部防护罩等附件； </w:t>
      </w:r>
    </w:p>
    <w:p w14:paraId="08FCEFE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（9）安全帽本体须具有清晰、耐磨的标识，应包含：产品名称/型号、产品标准（EN 397, EN 12492）、生产日期、制造商名称或商标。标识不会因正常清洗或使用而轻易脱落；</w:t>
      </w:r>
    </w:p>
    <w:p w14:paraId="62727DF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（10）安全帽须专门设计并提供供使用者填写个人信息的标签区域，标签应设计在头安全帽内部等不直接暴露于外部但易于急救人员查看的固定位置。</w:t>
      </w:r>
    </w:p>
    <w:p w14:paraId="0A2A5957">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2.手持上升器：</w:t>
      </w:r>
    </w:p>
    <w:p w14:paraId="38ACFCF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（1）标准：EN 12841；</w:t>
      </w:r>
    </w:p>
    <w:p w14:paraId="4E3557A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（2）重量：0.22 KG；</w:t>
      </w:r>
    </w:p>
    <w:p w14:paraId="14846D3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（3）适用绳索直径：8—13mm；</w:t>
      </w:r>
    </w:p>
    <w:p w14:paraId="7052BBF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（4）材质：铝；</w:t>
      </w:r>
    </w:p>
    <w:p w14:paraId="1A96BA6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（5）尺寸：203mm*90mm。</w:t>
      </w:r>
    </w:p>
    <w:p w14:paraId="4E0626D3">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3.安全带：</w:t>
      </w:r>
    </w:p>
    <w:p w14:paraId="1697610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（1）符合标准：EN 358：2018， EN 361：2002， EN 813：2008；</w:t>
      </w:r>
    </w:p>
    <w:p w14:paraId="1C54186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（2）额定负载：140kg；</w:t>
      </w:r>
    </w:p>
    <w:p w14:paraId="5D01F1D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（3）材质：聚酯、铝、钢；</w:t>
      </w:r>
    </w:p>
    <w:p w14:paraId="1F9393D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（4）符合人体工程学，配备六个连接点，专为绳索作业而开发；</w:t>
      </w:r>
    </w:p>
    <w:p w14:paraId="355201E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（5）配有一体式原厂胸部上升器；</w:t>
      </w:r>
    </w:p>
    <w:p w14:paraId="5E9F889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（6）肩部、腿部配有衬垫；</w:t>
      </w:r>
    </w:p>
    <w:p w14:paraId="7E8BECB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（8）肩部和腿部均配有快速插接扣，穿戴方便；</w:t>
      </w:r>
    </w:p>
    <w:p w14:paraId="7B92C45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（9）宽衬垫腰部支撑结构，带有透气的网眼，提高了长时间悬挂作业的舒适度；</w:t>
      </w:r>
    </w:p>
    <w:p w14:paraId="3829B52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（10）带有衬垫的肩带能防止磨损到操作者的脖子；</w:t>
      </w:r>
    </w:p>
    <w:p w14:paraId="44C726F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（11）可调节的宽大腿环能让操作者向上向下调整，保证坐姿时的舒适性。</w:t>
      </w:r>
    </w:p>
    <w:p w14:paraId="12DE3A4C">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4.锁扣：</w:t>
      </w:r>
    </w:p>
    <w:p w14:paraId="7B6E192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（1）标准：EN 362；</w:t>
      </w:r>
    </w:p>
    <w:p w14:paraId="213A269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（2）最小破断负载：25 KN；</w:t>
      </w:r>
    </w:p>
    <w:p w14:paraId="516D087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（3）重量:0.18 KG；</w:t>
      </w:r>
    </w:p>
    <w:p w14:paraId="6CE518B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（4）材质：钢；</w:t>
      </w:r>
    </w:p>
    <w:p w14:paraId="3185CF7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（5）最大开口：18mm；</w:t>
      </w:r>
    </w:p>
    <w:p w14:paraId="236AA42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（6）开闭系统：螺纹锁。</w:t>
      </w:r>
    </w:p>
    <w:p w14:paraId="00F4DEAF">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5.静力绳（含绳包）：</w:t>
      </w:r>
    </w:p>
    <w:p w14:paraId="257FADD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（1）1.标准：EN 1891 A；</w:t>
      </w:r>
    </w:p>
    <w:p w14:paraId="295E1A2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（2）最小破断负载：33.5 KN；</w:t>
      </w:r>
    </w:p>
    <w:p w14:paraId="5506802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（3）静态延伸率：3.8%；</w:t>
      </w:r>
    </w:p>
    <w:p w14:paraId="17CF878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（4）直径：11mm；</w:t>
      </w:r>
    </w:p>
    <w:p w14:paraId="2FE48EF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（5）长度：100m；</w:t>
      </w:r>
    </w:p>
    <w:p w14:paraId="68F3531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（6）尺寸：直径 30cm，高 40cm；</w:t>
      </w:r>
    </w:p>
    <w:p w14:paraId="6CF5AD0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（7）可装绳索、工具等，侧面有透明名片插袋；</w:t>
      </w:r>
    </w:p>
    <w:p w14:paraId="1BA8B61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（8）承重：20kg。</w:t>
      </w:r>
    </w:p>
    <w:p w14:paraId="136186F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（9）容量：28L</w:t>
      </w:r>
    </w:p>
    <w:p w14:paraId="63180FA7">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6.绳索移动止坠器：</w:t>
      </w:r>
    </w:p>
    <w:p w14:paraId="7FBD745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拥有独特锁定系统的 ASAP 是高空作业人员坠落保护的首选。在正常使用下，设备不需要人为干预，可跟随使用者在绳索上自由移动。如遇冲击受力或突然加速，ASAP 将在绳索上锁定并制停使用者的下坠。根据不同用途，ASAP 也可与 ASAP’SORBER 或ASAP’SORBER AXESS 势能吸收器一起使用，让备份绳索与作业面保持一定距离。</w:t>
      </w:r>
    </w:p>
    <w:p w14:paraId="5BCA228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势能吸收器配有撕裂式扁带，装在一个防磨损的两端皆可开启的小包里，同时也方便定期检查。可以用于双人救援，最大负重250kg。</w:t>
      </w:r>
    </w:p>
    <w:p w14:paraId="74644240">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7.下降器：</w:t>
      </w:r>
    </w:p>
    <w:p w14:paraId="2CA0DE3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（1）符合标准：DIN EN 12841-C:2006， EN 341-2A:2011；</w:t>
      </w:r>
    </w:p>
    <w:p w14:paraId="136BB92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（2）下降速度：2 m/s；</w:t>
      </w:r>
    </w:p>
    <w:p w14:paraId="145D0B4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（3）最大负载人数：2 人；</w:t>
      </w:r>
    </w:p>
    <w:p w14:paraId="2192C40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（4）最大负载：250kg；</w:t>
      </w:r>
    </w:p>
    <w:p w14:paraId="59EA356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（5）适用绳索：10-12mm；</w:t>
      </w:r>
    </w:p>
    <w:p w14:paraId="777AE3F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（6）使用温度：－30℃~ 60℃；</w:t>
      </w:r>
    </w:p>
    <w:p w14:paraId="4814DE4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（7）尺寸：47x79x175mm；</w:t>
      </w:r>
    </w:p>
    <w:p w14:paraId="3A99526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（8）重量：0.51kg；</w:t>
      </w:r>
    </w:p>
    <w:p w14:paraId="1FC6342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（9）材料：铝、钢；</w:t>
      </w:r>
    </w:p>
    <w:p w14:paraId="0CBA715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（10）坚固耐用：由高达 100％的金属制成—没有易碎的塑料零件；</w:t>
      </w:r>
    </w:p>
    <w:p w14:paraId="671D638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（11）自动锁定功能。可自动锁死操作杆，具有防恐慌功能。可以防止工作中因无意中触碰导致手柄打开；</w:t>
      </w:r>
    </w:p>
    <w:p w14:paraId="03A6DD0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（12）绳索安装简单直观，无需从安全带的主锁上取下。设计的绳索路径可以防止扭曲和打结，以及过度磨损和撕裂。</w:t>
      </w:r>
    </w:p>
    <w:p w14:paraId="1E7E4829">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8.脚踏带：</w:t>
      </w:r>
    </w:p>
    <w:p w14:paraId="688ACB0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可调节尼龙脚踏圈。可与OUICK'UP上升器连接用于上升。长度可通过卡扣轻松快速调节。耐磨的脚踏环采用半硬式结构方便踩踏。最大长度125cm,承重:150KG。重量：85克。</w:t>
      </w:r>
    </w:p>
    <w:p w14:paraId="2589884C">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9.装备包：</w:t>
      </w:r>
    </w:p>
    <w:p w14:paraId="2BA51EE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（1）容量：30L；</w:t>
      </w:r>
    </w:p>
    <w:p w14:paraId="786FBA6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（2）材质：420 D牛津尼龙；</w:t>
      </w:r>
    </w:p>
    <w:p w14:paraId="58F8743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（3）重量：1.1kg；</w:t>
      </w:r>
    </w:p>
    <w:p w14:paraId="6359B64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（4）尺寸：55*27*20cm；</w:t>
      </w:r>
    </w:p>
    <w:p w14:paraId="53ECA47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（5）载重可达12kg；</w:t>
      </w:r>
    </w:p>
    <w:p w14:paraId="300E998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（6）手提提手：有；</w:t>
      </w:r>
    </w:p>
    <w:p w14:paraId="7A6B766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（7）腰带：可拆卸；</w:t>
      </w:r>
    </w:p>
    <w:p w14:paraId="797792E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（8）背包外侧有多个挂点，方便挂工具；</w:t>
      </w:r>
    </w:p>
    <w:p w14:paraId="22E91A7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（9）采用加厚透气的背负系统, 可有效的减少肩部的负载；</w:t>
      </w:r>
    </w:p>
    <w:p w14:paraId="1E04D53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（10）TPU薄膜层压；</w:t>
      </w:r>
    </w:p>
    <w:p w14:paraId="7A2ABEE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（11）防水性能： &gt; 10000 mm。</w:t>
      </w:r>
    </w:p>
    <w:p w14:paraId="7C9FB091">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10.其它</w:t>
      </w:r>
      <w:bookmarkStart w:id="0" w:name="_GoBack"/>
      <w:bookmarkEnd w:id="0"/>
      <w:r>
        <w:rPr>
          <w:rFonts w:hint="eastAsia" w:asciiTheme="minorEastAsia" w:hAnsiTheme="minorEastAsia" w:cstheme="minorEastAsia"/>
          <w:b/>
          <w:bCs/>
          <w:sz w:val="28"/>
          <w:szCs w:val="28"/>
          <w:lang w:val="en-US" w:eastAsia="zh-CN"/>
        </w:rPr>
        <w:t>：</w:t>
      </w:r>
    </w:p>
    <w:p w14:paraId="1AE98E1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p>
    <w:p w14:paraId="151BE8F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交货期：合同签订后30天内到货。</w:t>
      </w:r>
    </w:p>
    <w:p w14:paraId="27AEC31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质保期：</w:t>
      </w:r>
      <w:r>
        <w:rPr>
          <w:rFonts w:hint="default" w:asciiTheme="minorEastAsia" w:hAnsiTheme="minorEastAsia" w:cstheme="minorEastAsia"/>
          <w:b w:val="0"/>
          <w:bCs w:val="0"/>
          <w:sz w:val="28"/>
          <w:szCs w:val="28"/>
          <w:lang w:val="en-US" w:eastAsia="zh-CN"/>
        </w:rPr>
        <w:t>产品质保期为自</w:t>
      </w:r>
      <w:r>
        <w:rPr>
          <w:rFonts w:hint="eastAsia" w:asciiTheme="minorEastAsia" w:hAnsiTheme="minorEastAsia" w:cstheme="minorEastAsia"/>
          <w:b w:val="0"/>
          <w:bCs w:val="0"/>
          <w:sz w:val="28"/>
          <w:szCs w:val="28"/>
          <w:lang w:val="en-US" w:eastAsia="zh-CN"/>
        </w:rPr>
        <w:t>货到验收合格12个月</w:t>
      </w:r>
      <w:r>
        <w:rPr>
          <w:rFonts w:hint="default" w:asciiTheme="minorEastAsia" w:hAnsiTheme="minorEastAsia" w:cstheme="minorEastAsia"/>
          <w:b w:val="0"/>
          <w:bCs w:val="0"/>
          <w:sz w:val="28"/>
          <w:szCs w:val="28"/>
          <w:lang w:val="en-US" w:eastAsia="zh-CN"/>
        </w:rPr>
        <w:t>。</w:t>
      </w:r>
    </w:p>
    <w:p w14:paraId="3FFF12BB">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技术联系人：李亚军 18337120117</w:t>
      </w: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64ECC">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7865A3">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A7865A3">
                    <w:pPr>
                      <w:pStyle w:val="2"/>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F87DA">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5A00D7">
                          <w:pPr>
                            <w:pStyle w:val="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5A00D7">
                    <w:pPr>
                      <w:pStyle w:val="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10</w:t>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431F7">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5431F7">
                    <w:pPr>
                      <w:pStyle w:val="2"/>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0NDIyOTIxMzEyODM0MmZiM2ZjZmQ3ZTlmODBhNWYifQ=="/>
  </w:docVars>
  <w:rsids>
    <w:rsidRoot w:val="00000000"/>
    <w:rsid w:val="008C6C96"/>
    <w:rsid w:val="01906049"/>
    <w:rsid w:val="073F4A62"/>
    <w:rsid w:val="07937C66"/>
    <w:rsid w:val="0F5256B7"/>
    <w:rsid w:val="17680005"/>
    <w:rsid w:val="1AAC1FB7"/>
    <w:rsid w:val="1BFF71F2"/>
    <w:rsid w:val="1E674B72"/>
    <w:rsid w:val="2A0F5DC5"/>
    <w:rsid w:val="304D54C1"/>
    <w:rsid w:val="339A4C4A"/>
    <w:rsid w:val="35366BF5"/>
    <w:rsid w:val="37B07204"/>
    <w:rsid w:val="38FD3CCF"/>
    <w:rsid w:val="3D977220"/>
    <w:rsid w:val="3DC44275"/>
    <w:rsid w:val="54504D5D"/>
    <w:rsid w:val="56D05A64"/>
    <w:rsid w:val="57E75E01"/>
    <w:rsid w:val="58CD7952"/>
    <w:rsid w:val="5E2F3E29"/>
    <w:rsid w:val="64D70FAB"/>
    <w:rsid w:val="67065B78"/>
    <w:rsid w:val="79AA0CEC"/>
    <w:rsid w:val="7CF95B0B"/>
    <w:rsid w:val="7D7503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paragraph" w:styleId="8">
    <w:name w:val="List Paragraph"/>
    <w:basedOn w:val="1"/>
    <w:qFormat/>
    <w:uiPriority w:val="34"/>
    <w:pPr>
      <w:ind w:firstLine="420" w:firstLineChars="200"/>
    </w:pPr>
  </w:style>
  <w:style w:type="character" w:customStyle="1" w:styleId="9">
    <w:name w:val="s_text1"/>
    <w:qFormat/>
    <w:uiPriority w:val="0"/>
    <w:rPr>
      <w:rFonts w:ascii="宋体" w:hAnsi="宋体" w:eastAsia="宋体"/>
      <w:color w:val="000000"/>
      <w:spacing w:val="3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1"/>
      <sectRole val="1"/>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3434</Words>
  <Characters>4058</Characters>
  <Lines>0</Lines>
  <Paragraphs>0</Paragraphs>
  <TotalTime>0</TotalTime>
  <ScaleCrop>false</ScaleCrop>
  <LinksUpToDate>false</LinksUpToDate>
  <CharactersWithSpaces>4185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2024-08-28T01:31:00Z</dcterms:created>
  <dc:creator>Administrator</dc:creator>
  <cp:lastModifiedBy>韩松</cp:lastModifiedBy>
  <cp:lastPrinted>2026-08-05T08:55:00Z</cp:lastPrinted>
  <dcterms:modified xsi:type="dcterms:W3CDTF">2026-08-24T10:23:32Z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2A482E89E7284B65A3C93D9178165FB3_13</vt:lpwstr>
  </property>
  <property fmtid="{D5CDD505-2E9C-101B-9397-08002B2CF9AE}" pid="4" name="KSOTemplateDocerSaveRecord">
    <vt:lpwstr>eyJoZGlkIjoiMTJkOGU2MTA2ZDIyNGNiNjA5NGJhN2Y3YjNlNWE0NGIiLCJ1c2VySWQiOiIzOTM3OTY4ODEifQ==</vt:lpwstr>
  </property>
</Properties>
</file>