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9B56C5">
      <w:pPr>
        <w:spacing w:line="600" w:lineRule="exact"/>
        <w:jc w:val="center"/>
        <w:outlineLvl w:val="0"/>
        <w:rPr>
          <w:rFonts w:hint="eastAsia" w:ascii="宋体" w:hAnsi="宋体" w:eastAsia="宋体" w:cs="宋体"/>
          <w:b/>
          <w:sz w:val="44"/>
          <w:szCs w:val="44"/>
        </w:rPr>
      </w:pPr>
    </w:p>
    <w:p w14:paraId="60445240">
      <w:pPr>
        <w:spacing w:line="600" w:lineRule="exact"/>
        <w:jc w:val="center"/>
        <w:outlineLvl w:val="0"/>
        <w:rPr>
          <w:rFonts w:hint="eastAsia" w:ascii="宋体" w:hAnsi="宋体" w:eastAsia="宋体" w:cs="宋体"/>
          <w:b/>
          <w:sz w:val="44"/>
          <w:szCs w:val="44"/>
        </w:rPr>
      </w:pPr>
    </w:p>
    <w:p w14:paraId="299EACDD">
      <w:pPr>
        <w:spacing w:line="600" w:lineRule="exact"/>
        <w:jc w:val="center"/>
        <w:outlineLvl w:val="0"/>
        <w:rPr>
          <w:rFonts w:hint="eastAsia" w:ascii="宋体" w:hAnsi="宋体" w:eastAsia="宋体" w:cs="宋体"/>
          <w:b/>
          <w:sz w:val="44"/>
          <w:szCs w:val="44"/>
        </w:rPr>
      </w:pPr>
    </w:p>
    <w:p w14:paraId="7FF4459A">
      <w:pPr>
        <w:pStyle w:val="4"/>
        <w:rPr>
          <w:rFonts w:hint="eastAsia"/>
        </w:rPr>
      </w:pPr>
    </w:p>
    <w:p w14:paraId="70B6451A">
      <w:pPr>
        <w:spacing w:line="600" w:lineRule="exact"/>
        <w:jc w:val="center"/>
        <w:outlineLvl w:val="0"/>
        <w:rPr>
          <w:rFonts w:hint="eastAsia" w:ascii="宋体" w:hAnsi="宋体" w:eastAsia="宋体" w:cs="宋体"/>
          <w:b/>
          <w:sz w:val="44"/>
          <w:szCs w:val="44"/>
        </w:rPr>
      </w:pPr>
      <w:r>
        <w:rPr>
          <w:rFonts w:hint="eastAsia" w:ascii="宋体" w:hAnsi="宋体" w:eastAsia="宋体" w:cs="宋体"/>
          <w:b/>
          <w:sz w:val="44"/>
          <w:szCs w:val="44"/>
        </w:rPr>
        <w:t>永煤集团顺和煤矿</w:t>
      </w:r>
    </w:p>
    <w:p w14:paraId="0428204C">
      <w:pPr>
        <w:spacing w:line="600" w:lineRule="exact"/>
        <w:jc w:val="center"/>
        <w:rPr>
          <w:rFonts w:hint="eastAsia" w:ascii="宋体" w:hAnsi="宋体" w:eastAsia="宋体" w:cs="宋体"/>
          <w:b/>
          <w:bCs/>
          <w:sz w:val="56"/>
          <w:szCs w:val="56"/>
        </w:rPr>
      </w:pPr>
      <w:r>
        <w:rPr>
          <w:rFonts w:hint="eastAsia" w:ascii="宋体" w:hAnsi="宋体" w:cs="宋体"/>
          <w:b/>
          <w:sz w:val="44"/>
          <w:szCs w:val="44"/>
          <w:lang w:val="en-US" w:eastAsia="zh-CN"/>
        </w:rPr>
        <w:t>管道增压泵技术规格书</w:t>
      </w:r>
    </w:p>
    <w:p w14:paraId="392C1583">
      <w:pPr>
        <w:rPr>
          <w:rFonts w:hint="eastAsia" w:ascii="微软雅黑" w:hAnsi="微软雅黑" w:eastAsia="微软雅黑" w:cs="微软雅黑"/>
          <w:b/>
          <w:bCs/>
          <w:sz w:val="36"/>
          <w:szCs w:val="36"/>
        </w:rPr>
      </w:pPr>
    </w:p>
    <w:p w14:paraId="3F244386">
      <w:pPr>
        <w:rPr>
          <w:rFonts w:ascii="宋体" w:cs="宋体"/>
          <w:b/>
          <w:bCs/>
          <w:sz w:val="36"/>
          <w:szCs w:val="36"/>
        </w:rPr>
      </w:pPr>
    </w:p>
    <w:p w14:paraId="554E8E55">
      <w:pPr>
        <w:rPr>
          <w:rFonts w:ascii="宋体" w:cs="宋体"/>
          <w:b/>
          <w:bCs/>
          <w:sz w:val="36"/>
          <w:szCs w:val="36"/>
        </w:rPr>
      </w:pPr>
    </w:p>
    <w:p w14:paraId="0FE4934D">
      <w:pPr>
        <w:pStyle w:val="4"/>
        <w:rPr>
          <w:rFonts w:ascii="宋体" w:cs="宋体"/>
          <w:b/>
          <w:bCs/>
          <w:sz w:val="36"/>
          <w:szCs w:val="36"/>
        </w:rPr>
      </w:pPr>
    </w:p>
    <w:p w14:paraId="14ABF4EA">
      <w:pPr>
        <w:rPr>
          <w:rFonts w:ascii="宋体" w:cs="宋体"/>
          <w:b/>
          <w:bCs/>
          <w:sz w:val="36"/>
          <w:szCs w:val="36"/>
        </w:rPr>
      </w:pPr>
    </w:p>
    <w:p w14:paraId="31E7C39A">
      <w:pPr>
        <w:rPr>
          <w:rFonts w:ascii="宋体" w:cs="宋体"/>
          <w:b/>
          <w:bCs/>
          <w:sz w:val="36"/>
          <w:szCs w:val="36"/>
        </w:rPr>
      </w:pPr>
    </w:p>
    <w:p w14:paraId="7FC7D78A">
      <w:pPr>
        <w:rPr>
          <w:rFonts w:ascii="宋体" w:cs="宋体"/>
          <w:b/>
          <w:bCs/>
          <w:sz w:val="36"/>
          <w:szCs w:val="36"/>
        </w:rPr>
      </w:pPr>
    </w:p>
    <w:p w14:paraId="39D84CAD">
      <w:pPr>
        <w:spacing w:line="360" w:lineRule="auto"/>
        <w:rPr>
          <w:rFonts w:ascii="宋体" w:cs="宋体"/>
          <w:b/>
          <w:bCs/>
          <w:sz w:val="24"/>
        </w:rPr>
      </w:pPr>
    </w:p>
    <w:p w14:paraId="61F36907">
      <w:pPr>
        <w:keepNext w:val="0"/>
        <w:keepLines w:val="0"/>
        <w:pageBreakBefore w:val="0"/>
        <w:widowControl w:val="0"/>
        <w:kinsoku/>
        <w:wordWrap/>
        <w:overflowPunct/>
        <w:topLinePunct w:val="0"/>
        <w:autoSpaceDE/>
        <w:autoSpaceDN/>
        <w:bidi w:val="0"/>
        <w:adjustRightInd/>
        <w:snapToGrid/>
        <w:spacing w:line="800" w:lineRule="exact"/>
        <w:ind w:firstLine="2379" w:firstLineChars="790"/>
        <w:textAlignment w:val="auto"/>
        <w:rPr>
          <w:rFonts w:hint="eastAsia" w:ascii="宋体" w:eastAsia="宋体" w:cs="宋体"/>
          <w:b/>
          <w:bCs/>
          <w:sz w:val="30"/>
          <w:szCs w:val="30"/>
          <w:lang w:eastAsia="zh-CN"/>
        </w:rPr>
      </w:pPr>
      <w:r>
        <w:rPr>
          <w:rFonts w:hint="eastAsia" w:ascii="宋体" w:hAnsi="宋体" w:cs="宋体"/>
          <w:b/>
          <w:bCs/>
          <w:sz w:val="30"/>
          <w:szCs w:val="30"/>
        </w:rPr>
        <w:t>编制单位：</w:t>
      </w:r>
      <w:r>
        <w:rPr>
          <w:rFonts w:hint="eastAsia" w:ascii="宋体" w:hAnsi="宋体" w:cs="宋体"/>
          <w:b/>
          <w:bCs/>
          <w:sz w:val="30"/>
          <w:szCs w:val="30"/>
          <w:lang w:val="en-US" w:eastAsia="zh-CN"/>
        </w:rPr>
        <w:t>顺和煤矿</w:t>
      </w:r>
      <w:r>
        <w:rPr>
          <w:rFonts w:hint="eastAsia" w:ascii="宋体" w:hAnsi="宋体" w:cs="宋体"/>
          <w:b/>
          <w:bCs/>
          <w:sz w:val="30"/>
          <w:szCs w:val="30"/>
          <w:lang w:eastAsia="zh-CN"/>
        </w:rPr>
        <w:t>机电科</w:t>
      </w:r>
    </w:p>
    <w:p w14:paraId="391E9514">
      <w:pPr>
        <w:keepNext w:val="0"/>
        <w:keepLines w:val="0"/>
        <w:pageBreakBefore w:val="0"/>
        <w:widowControl w:val="0"/>
        <w:kinsoku/>
        <w:wordWrap/>
        <w:overflowPunct/>
        <w:topLinePunct w:val="0"/>
        <w:autoSpaceDE/>
        <w:autoSpaceDN/>
        <w:bidi w:val="0"/>
        <w:adjustRightInd/>
        <w:snapToGrid/>
        <w:spacing w:line="800" w:lineRule="exact"/>
        <w:ind w:firstLine="2379" w:firstLineChars="790"/>
        <w:textAlignment w:val="auto"/>
        <w:rPr>
          <w:rFonts w:ascii="宋体" w:hAnsi="宋体" w:cs="宋体"/>
          <w:b/>
          <w:bCs/>
          <w:sz w:val="30"/>
          <w:szCs w:val="30"/>
        </w:rPr>
      </w:pPr>
      <w:r>
        <w:rPr>
          <w:rFonts w:hint="eastAsia" w:ascii="宋体" w:hAnsi="宋体" w:cs="宋体"/>
          <w:b/>
          <w:bCs/>
          <w:sz w:val="30"/>
          <w:szCs w:val="30"/>
        </w:rPr>
        <w:t>编</w:t>
      </w:r>
      <w:r>
        <w:rPr>
          <w:rFonts w:ascii="宋体" w:hAnsi="宋体" w:cs="宋体"/>
          <w:b/>
          <w:bCs/>
          <w:sz w:val="30"/>
          <w:szCs w:val="30"/>
        </w:rPr>
        <w:t xml:space="preserve"> </w:t>
      </w:r>
      <w:r>
        <w:rPr>
          <w:rFonts w:hint="eastAsia" w:ascii="宋体" w:hAnsi="宋体" w:cs="宋体"/>
          <w:b/>
          <w:bCs/>
          <w:sz w:val="30"/>
          <w:szCs w:val="30"/>
          <w:lang w:val="en-US" w:eastAsia="zh-CN"/>
        </w:rPr>
        <w:t xml:space="preserve">   </w:t>
      </w:r>
      <w:r>
        <w:rPr>
          <w:rFonts w:hint="eastAsia" w:ascii="宋体" w:hAnsi="宋体" w:cs="宋体"/>
          <w:b/>
          <w:bCs/>
          <w:sz w:val="30"/>
          <w:szCs w:val="30"/>
        </w:rPr>
        <w:t>制：</w:t>
      </w:r>
      <w:r>
        <w:rPr>
          <w:rFonts w:ascii="宋体" w:hAnsi="宋体" w:cs="宋体"/>
          <w:b/>
          <w:bCs/>
          <w:sz w:val="30"/>
          <w:szCs w:val="30"/>
        </w:rPr>
        <w:t xml:space="preserve"> </w:t>
      </w:r>
    </w:p>
    <w:p w14:paraId="08AC75B3">
      <w:pPr>
        <w:keepNext w:val="0"/>
        <w:keepLines w:val="0"/>
        <w:pageBreakBefore w:val="0"/>
        <w:widowControl w:val="0"/>
        <w:kinsoku/>
        <w:wordWrap/>
        <w:overflowPunct/>
        <w:topLinePunct w:val="0"/>
        <w:autoSpaceDE/>
        <w:autoSpaceDN/>
        <w:bidi w:val="0"/>
        <w:adjustRightInd/>
        <w:snapToGrid/>
        <w:spacing w:line="800" w:lineRule="exact"/>
        <w:ind w:firstLine="2379" w:firstLineChars="790"/>
        <w:textAlignment w:val="auto"/>
        <w:rPr>
          <w:rFonts w:hint="eastAsia" w:ascii="宋体" w:hAnsi="宋体" w:cs="宋体"/>
          <w:b/>
          <w:bCs/>
          <w:sz w:val="30"/>
          <w:szCs w:val="30"/>
        </w:rPr>
      </w:pPr>
      <w:r>
        <w:rPr>
          <w:rFonts w:hint="eastAsia" w:ascii="宋体" w:hAnsi="宋体" w:cs="宋体"/>
          <w:b/>
          <w:bCs/>
          <w:sz w:val="30"/>
          <w:szCs w:val="30"/>
          <w:lang w:val="en-US" w:eastAsia="zh-CN"/>
        </w:rPr>
        <w:t>审    核</w:t>
      </w:r>
      <w:r>
        <w:rPr>
          <w:rFonts w:hint="eastAsia" w:ascii="宋体" w:hAnsi="宋体" w:cs="宋体"/>
          <w:b/>
          <w:bCs/>
          <w:sz w:val="30"/>
          <w:szCs w:val="30"/>
        </w:rPr>
        <w:t>：</w:t>
      </w:r>
    </w:p>
    <w:p w14:paraId="592AC74F">
      <w:pPr>
        <w:keepNext w:val="0"/>
        <w:keepLines w:val="0"/>
        <w:pageBreakBefore w:val="0"/>
        <w:widowControl w:val="0"/>
        <w:kinsoku/>
        <w:wordWrap/>
        <w:overflowPunct/>
        <w:topLinePunct w:val="0"/>
        <w:autoSpaceDE/>
        <w:autoSpaceDN/>
        <w:bidi w:val="0"/>
        <w:adjustRightInd/>
        <w:snapToGrid/>
        <w:spacing w:line="800" w:lineRule="exact"/>
        <w:ind w:firstLine="2397" w:firstLineChars="796"/>
        <w:textAlignment w:val="auto"/>
        <w:rPr>
          <w:rFonts w:hint="default" w:ascii="宋体" w:hAnsi="宋体" w:eastAsia="宋体" w:cs="宋体"/>
          <w:b/>
          <w:bCs/>
          <w:sz w:val="30"/>
          <w:szCs w:val="30"/>
          <w:lang w:val="en-US" w:eastAsia="zh-CN"/>
        </w:rPr>
      </w:pPr>
      <w:r>
        <w:rPr>
          <w:rFonts w:hint="eastAsia" w:ascii="宋体" w:hAnsi="宋体" w:cs="宋体"/>
          <w:b/>
          <w:bCs/>
          <w:sz w:val="30"/>
          <w:szCs w:val="30"/>
          <w:lang w:val="en-US" w:eastAsia="zh-CN"/>
        </w:rPr>
        <w:t>机电副总：</w:t>
      </w:r>
    </w:p>
    <w:p w14:paraId="54108F2E">
      <w:pPr>
        <w:keepNext w:val="0"/>
        <w:keepLines w:val="0"/>
        <w:pageBreakBefore w:val="0"/>
        <w:widowControl w:val="0"/>
        <w:kinsoku/>
        <w:wordWrap/>
        <w:overflowPunct/>
        <w:topLinePunct w:val="0"/>
        <w:autoSpaceDE/>
        <w:autoSpaceDN/>
        <w:bidi w:val="0"/>
        <w:adjustRightInd/>
        <w:snapToGrid/>
        <w:spacing w:line="800" w:lineRule="exact"/>
        <w:ind w:firstLine="2379" w:firstLineChars="790"/>
        <w:textAlignment w:val="auto"/>
        <w:rPr>
          <w:rFonts w:ascii="宋体" w:cs="宋体"/>
          <w:b/>
          <w:bCs/>
          <w:sz w:val="30"/>
          <w:szCs w:val="30"/>
        </w:rPr>
      </w:pPr>
      <w:r>
        <w:rPr>
          <w:rFonts w:hint="eastAsia" w:ascii="宋体" w:hAnsi="宋体" w:cs="宋体"/>
          <w:b/>
          <w:bCs/>
          <w:sz w:val="30"/>
          <w:szCs w:val="30"/>
        </w:rPr>
        <w:t>编制日期：</w:t>
      </w:r>
      <w:r>
        <w:rPr>
          <w:rFonts w:hint="eastAsia" w:ascii="宋体" w:hAnsi="宋体" w:cs="宋体"/>
          <w:b/>
          <w:bCs/>
          <w:sz w:val="30"/>
          <w:szCs w:val="30"/>
          <w:lang w:val="en-US" w:eastAsia="zh-CN"/>
        </w:rPr>
        <w:t xml:space="preserve">  </w:t>
      </w:r>
      <w:r>
        <w:rPr>
          <w:rFonts w:ascii="宋体" w:hAnsi="宋体" w:cs="宋体"/>
          <w:b/>
          <w:bCs/>
          <w:sz w:val="30"/>
          <w:szCs w:val="30"/>
        </w:rPr>
        <w:t>20</w:t>
      </w:r>
      <w:r>
        <w:rPr>
          <w:rFonts w:hint="eastAsia" w:ascii="宋体" w:hAnsi="宋体" w:cs="宋体"/>
          <w:b/>
          <w:bCs/>
          <w:sz w:val="30"/>
          <w:szCs w:val="30"/>
          <w:lang w:val="en-US" w:eastAsia="zh-CN"/>
        </w:rPr>
        <w:t>26</w:t>
      </w:r>
      <w:r>
        <w:rPr>
          <w:rFonts w:hint="eastAsia" w:ascii="宋体" w:hAnsi="宋体" w:cs="宋体"/>
          <w:b/>
          <w:bCs/>
          <w:sz w:val="30"/>
          <w:szCs w:val="30"/>
        </w:rPr>
        <w:t>年</w:t>
      </w:r>
      <w:r>
        <w:rPr>
          <w:rFonts w:hint="eastAsia" w:ascii="宋体" w:hAnsi="宋体" w:cs="宋体"/>
          <w:b/>
          <w:bCs/>
          <w:sz w:val="30"/>
          <w:szCs w:val="30"/>
          <w:lang w:val="en-US" w:eastAsia="zh-CN"/>
        </w:rPr>
        <w:t>8</w:t>
      </w:r>
      <w:r>
        <w:rPr>
          <w:rFonts w:hint="eastAsia" w:ascii="宋体" w:hAnsi="宋体" w:cs="宋体"/>
          <w:b/>
          <w:bCs/>
          <w:sz w:val="30"/>
          <w:szCs w:val="30"/>
        </w:rPr>
        <w:t>月</w:t>
      </w:r>
    </w:p>
    <w:p w14:paraId="5931FAF5">
      <w:pPr>
        <w:jc w:val="center"/>
        <w:rPr>
          <w:rFonts w:hint="eastAsia" w:ascii="黑体" w:eastAsia="黑体"/>
          <w:b/>
          <w:bCs/>
          <w:sz w:val="36"/>
          <w:szCs w:val="36"/>
        </w:rPr>
        <w:sectPr>
          <w:pgSz w:w="11906" w:h="16838"/>
          <w:pgMar w:top="1440" w:right="1800" w:bottom="1440" w:left="1800" w:header="851" w:footer="992" w:gutter="0"/>
          <w:cols w:space="425" w:num="1"/>
          <w:docGrid w:type="lines" w:linePitch="312" w:charSpace="0"/>
        </w:sectPr>
      </w:pPr>
    </w:p>
    <w:p w14:paraId="49BD1200">
      <w:pPr>
        <w:jc w:val="center"/>
        <w:rPr>
          <w:rFonts w:hint="eastAsia" w:ascii="黑体" w:eastAsia="黑体"/>
          <w:b/>
          <w:bCs/>
          <w:sz w:val="36"/>
          <w:szCs w:val="36"/>
          <w:lang w:val="en-US"/>
        </w:rPr>
      </w:pPr>
      <w:r>
        <w:rPr>
          <w:rFonts w:hint="eastAsia" w:ascii="黑体" w:eastAsia="黑体"/>
          <w:b/>
          <w:bCs/>
          <w:sz w:val="36"/>
          <w:szCs w:val="36"/>
        </w:rPr>
        <w:t>永煤集团顺和煤矿</w:t>
      </w:r>
      <w:r>
        <w:rPr>
          <w:rFonts w:hint="eastAsia" w:ascii="黑体" w:eastAsia="黑体"/>
          <w:b/>
          <w:bCs/>
          <w:sz w:val="36"/>
          <w:szCs w:val="36"/>
          <w:lang w:val="en-US" w:eastAsia="zh-CN"/>
        </w:rPr>
        <w:t>管道增压泵</w:t>
      </w:r>
      <w:r>
        <w:rPr>
          <w:rFonts w:hint="eastAsia" w:ascii="黑体" w:eastAsia="黑体"/>
          <w:b/>
          <w:bCs/>
          <w:sz w:val="36"/>
          <w:szCs w:val="36"/>
        </w:rPr>
        <w:t>技术</w:t>
      </w:r>
      <w:r>
        <w:rPr>
          <w:rFonts w:hint="eastAsia" w:ascii="黑体" w:eastAsia="黑体"/>
          <w:b/>
          <w:bCs/>
          <w:sz w:val="36"/>
          <w:szCs w:val="36"/>
          <w:lang w:val="en-US" w:eastAsia="zh-CN"/>
        </w:rPr>
        <w:t>规格书</w:t>
      </w:r>
    </w:p>
    <w:p w14:paraId="2B7D8EFA">
      <w:pPr>
        <w:numPr>
          <w:ilvl w:val="0"/>
          <w:numId w:val="1"/>
        </w:numPr>
        <w:ind w:firstLine="562" w:firstLineChars="200"/>
        <w:jc w:val="left"/>
        <w:rPr>
          <w:rFonts w:hint="eastAsia" w:ascii="仿宋_GB2312" w:hAnsi="宋体" w:eastAsia="仿宋_GB2312" w:cs="宋体"/>
          <w:b/>
          <w:bCs/>
          <w:sz w:val="28"/>
          <w:szCs w:val="28"/>
        </w:rPr>
      </w:pPr>
      <w:bookmarkStart w:id="0" w:name="项目简介及使用地点"/>
      <w:r>
        <w:rPr>
          <w:rFonts w:hint="eastAsia" w:ascii="仿宋_GB2312" w:hAnsi="宋体" w:eastAsia="仿宋_GB2312" w:cs="宋体"/>
          <w:b/>
          <w:bCs/>
          <w:sz w:val="28"/>
          <w:szCs w:val="28"/>
        </w:rPr>
        <w:fldChar w:fldCharType="begin"/>
      </w:r>
      <w:r>
        <w:rPr>
          <w:rFonts w:hint="eastAsia" w:ascii="仿宋_GB2312" w:hAnsi="宋体" w:eastAsia="仿宋_GB2312" w:cs="宋体"/>
          <w:b/>
          <w:bCs/>
          <w:sz w:val="28"/>
          <w:szCs w:val="28"/>
        </w:rPr>
        <w:instrText xml:space="preserve"> HYPERLINK \l "项目简介及使用地点" </w:instrText>
      </w:r>
      <w:r>
        <w:rPr>
          <w:rFonts w:hint="eastAsia" w:ascii="仿宋_GB2312" w:hAnsi="宋体" w:eastAsia="仿宋_GB2312" w:cs="宋体"/>
          <w:b/>
          <w:bCs/>
          <w:sz w:val="28"/>
          <w:szCs w:val="28"/>
        </w:rPr>
        <w:fldChar w:fldCharType="separate"/>
      </w:r>
      <w:r>
        <w:rPr>
          <w:rFonts w:hint="eastAsia" w:ascii="仿宋_GB2312" w:hAnsi="宋体" w:eastAsia="仿宋_GB2312" w:cs="宋体"/>
          <w:b/>
          <w:bCs/>
          <w:sz w:val="28"/>
          <w:szCs w:val="28"/>
        </w:rPr>
        <w:t>项目简介及使用地点</w:t>
      </w:r>
      <w:r>
        <w:rPr>
          <w:rFonts w:hint="eastAsia" w:ascii="仿宋_GB2312" w:hAnsi="宋体" w:eastAsia="仿宋_GB2312" w:cs="宋体"/>
          <w:b/>
          <w:bCs/>
          <w:sz w:val="28"/>
          <w:szCs w:val="28"/>
        </w:rPr>
        <w:fldChar w:fldCharType="end"/>
      </w:r>
      <w:bookmarkEnd w:id="0"/>
    </w:p>
    <w:p w14:paraId="3D85648C">
      <w:pPr>
        <w:adjustRightInd w:val="0"/>
        <w:snapToGrid w:val="0"/>
        <w:spacing w:line="52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顺和煤矿需采购矿用</w:t>
      </w:r>
      <w:r>
        <w:rPr>
          <w:rFonts w:hint="default" w:ascii="仿宋_GB2312" w:hAnsi="宋体" w:eastAsia="仿宋_GB2312"/>
          <w:sz w:val="28"/>
          <w:szCs w:val="28"/>
        </w:rPr>
        <w:t>管道增压泵</w:t>
      </w:r>
      <w:r>
        <w:rPr>
          <w:rFonts w:hint="eastAsia" w:ascii="仿宋_GB2312" w:hAnsi="宋体" w:eastAsia="仿宋_GB2312"/>
          <w:sz w:val="28"/>
          <w:szCs w:val="28"/>
          <w:lang w:eastAsia="zh-CN"/>
        </w:rPr>
        <w:t>两</w:t>
      </w:r>
      <w:r>
        <w:rPr>
          <w:rFonts w:hint="default" w:ascii="仿宋_GB2312" w:hAnsi="宋体" w:eastAsia="仿宋_GB2312"/>
          <w:sz w:val="28"/>
          <w:szCs w:val="28"/>
        </w:rPr>
        <w:t>套</w:t>
      </w:r>
      <w:r>
        <w:rPr>
          <w:rFonts w:hint="eastAsia" w:ascii="仿宋_GB2312" w:hAnsi="宋体" w:eastAsia="仿宋_GB2312"/>
          <w:sz w:val="28"/>
          <w:szCs w:val="28"/>
        </w:rPr>
        <w:t>，用于井下</w:t>
      </w:r>
      <w:r>
        <w:rPr>
          <w:rFonts w:hint="eastAsia" w:ascii="仿宋_GB2312" w:hAnsi="宋体" w:eastAsia="仿宋_GB2312"/>
          <w:sz w:val="28"/>
          <w:szCs w:val="28"/>
          <w:lang w:val="en-US" w:eastAsia="zh-CN"/>
        </w:rPr>
        <w:t>采掘</w:t>
      </w:r>
      <w:r>
        <w:rPr>
          <w:rFonts w:hint="eastAsia" w:ascii="仿宋_GB2312" w:hAnsi="宋体" w:eastAsia="仿宋_GB2312"/>
          <w:sz w:val="28"/>
          <w:szCs w:val="28"/>
        </w:rPr>
        <w:t>作业地点</w:t>
      </w:r>
      <w:r>
        <w:rPr>
          <w:rFonts w:hint="default" w:ascii="仿宋_GB2312" w:hAnsi="宋体" w:eastAsia="仿宋_GB2312"/>
          <w:sz w:val="28"/>
          <w:szCs w:val="28"/>
        </w:rPr>
        <w:t>供水管路，以提高供水压力</w:t>
      </w:r>
      <w:r>
        <w:rPr>
          <w:rFonts w:hint="eastAsia" w:ascii="仿宋_GB2312" w:hAnsi="宋体" w:eastAsia="仿宋_GB2312"/>
          <w:sz w:val="28"/>
          <w:szCs w:val="28"/>
        </w:rPr>
        <w:t>。</w:t>
      </w:r>
    </w:p>
    <w:p w14:paraId="0EAF136F">
      <w:pPr>
        <w:numPr>
          <w:ilvl w:val="0"/>
          <w:numId w:val="1"/>
        </w:numPr>
        <w:adjustRightInd w:val="0"/>
        <w:snapToGrid w:val="0"/>
        <w:spacing w:line="520" w:lineRule="exact"/>
        <w:ind w:left="0" w:leftChars="0" w:firstLine="562" w:firstLineChars="200"/>
        <w:rPr>
          <w:rFonts w:hint="eastAsia" w:ascii="仿宋_GB2312" w:hAnsi="宋体" w:eastAsia="仿宋_GB2312"/>
          <w:b/>
          <w:bCs/>
          <w:sz w:val="28"/>
          <w:szCs w:val="28"/>
        </w:rPr>
      </w:pPr>
      <w:bookmarkStart w:id="1" w:name="货物名称及供货范围"/>
      <w:r>
        <w:rPr>
          <w:rFonts w:hint="eastAsia" w:ascii="仿宋_GB2312" w:hAnsi="宋体" w:eastAsia="仿宋_GB2312"/>
          <w:b/>
          <w:bCs/>
          <w:sz w:val="28"/>
          <w:szCs w:val="28"/>
        </w:rPr>
        <w:t>货物名称及供货范围</w:t>
      </w:r>
      <w:bookmarkEnd w:id="1"/>
    </w:p>
    <w:tbl>
      <w:tblPr>
        <w:tblStyle w:val="8"/>
        <w:tblW w:w="8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299"/>
        <w:gridCol w:w="1500"/>
        <w:gridCol w:w="1488"/>
        <w:gridCol w:w="1246"/>
        <w:gridCol w:w="1131"/>
        <w:gridCol w:w="1200"/>
      </w:tblGrid>
      <w:tr w14:paraId="0DD4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8" w:type="dxa"/>
            <w:noWrap w:val="0"/>
            <w:vAlign w:val="center"/>
          </w:tcPr>
          <w:p w14:paraId="119EE71C">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1299" w:type="dxa"/>
            <w:noWrap w:val="0"/>
            <w:vAlign w:val="center"/>
          </w:tcPr>
          <w:p w14:paraId="0FF6D103">
            <w:pPr>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名称</w:t>
            </w:r>
          </w:p>
        </w:tc>
        <w:tc>
          <w:tcPr>
            <w:tcW w:w="1500" w:type="dxa"/>
            <w:noWrap w:val="0"/>
            <w:vAlign w:val="center"/>
          </w:tcPr>
          <w:p w14:paraId="04182B04">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参考</w:t>
            </w:r>
            <w:r>
              <w:rPr>
                <w:rFonts w:hint="eastAsia" w:ascii="仿宋_GB2312" w:hAnsi="仿宋_GB2312" w:eastAsia="仿宋_GB2312" w:cs="仿宋_GB2312"/>
                <w:sz w:val="21"/>
                <w:szCs w:val="21"/>
              </w:rPr>
              <w:t>型号</w:t>
            </w:r>
          </w:p>
        </w:tc>
        <w:tc>
          <w:tcPr>
            <w:tcW w:w="1488" w:type="dxa"/>
            <w:noWrap w:val="0"/>
            <w:vAlign w:val="center"/>
          </w:tcPr>
          <w:p w14:paraId="4926B43B">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电压等级（V）</w:t>
            </w:r>
          </w:p>
        </w:tc>
        <w:tc>
          <w:tcPr>
            <w:tcW w:w="1246" w:type="dxa"/>
            <w:noWrap w:val="0"/>
            <w:vAlign w:val="center"/>
          </w:tcPr>
          <w:p w14:paraId="4C7573D5">
            <w:pPr>
              <w:jc w:val="center"/>
              <w:rPr>
                <w:rFonts w:hint="eastAsia" w:ascii="仿宋_GB2312" w:hAnsi="仿宋_GB2312" w:eastAsia="仿宋_GB2312" w:cs="仿宋_GB2312"/>
                <w:sz w:val="21"/>
                <w:szCs w:val="21"/>
                <w:vertAlign w:val="superscript"/>
              </w:rPr>
            </w:pPr>
            <w:r>
              <w:rPr>
                <w:rFonts w:hint="eastAsia" w:ascii="仿宋_GB2312" w:hAnsi="仿宋_GB2312" w:eastAsia="仿宋_GB2312" w:cs="仿宋_GB2312"/>
                <w:sz w:val="21"/>
                <w:szCs w:val="21"/>
              </w:rPr>
              <w:t>流量（m</w:t>
            </w:r>
            <w:r>
              <w:rPr>
                <w:rFonts w:hint="eastAsia" w:ascii="仿宋_GB2312" w:hAnsi="仿宋_GB2312" w:eastAsia="仿宋_GB2312" w:cs="仿宋_GB2312"/>
                <w:sz w:val="21"/>
                <w:szCs w:val="21"/>
                <w:vertAlign w:val="superscript"/>
              </w:rPr>
              <w:t>3</w:t>
            </w:r>
            <w:r>
              <w:rPr>
                <w:rFonts w:hint="eastAsia" w:ascii="仿宋_GB2312" w:hAnsi="仿宋_GB2312" w:eastAsia="仿宋_GB2312" w:cs="仿宋_GB2312"/>
                <w:bCs/>
                <w:sz w:val="21"/>
                <w:szCs w:val="21"/>
              </w:rPr>
              <w:t>/</w:t>
            </w:r>
            <w:r>
              <w:rPr>
                <w:rFonts w:hint="eastAsia" w:ascii="仿宋_GB2312" w:hAnsi="仿宋_GB2312" w:eastAsia="仿宋_GB2312" w:cs="仿宋_GB2312"/>
                <w:sz w:val="21"/>
                <w:szCs w:val="21"/>
              </w:rPr>
              <w:t>h）</w:t>
            </w:r>
          </w:p>
        </w:tc>
        <w:tc>
          <w:tcPr>
            <w:tcW w:w="1131" w:type="dxa"/>
            <w:noWrap w:val="0"/>
            <w:vAlign w:val="center"/>
          </w:tcPr>
          <w:p w14:paraId="41842BC0">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扬程(m)</w:t>
            </w:r>
          </w:p>
        </w:tc>
        <w:tc>
          <w:tcPr>
            <w:tcW w:w="1200" w:type="dxa"/>
            <w:noWrap w:val="0"/>
            <w:vAlign w:val="center"/>
          </w:tcPr>
          <w:p w14:paraId="550FD062">
            <w:pPr>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数量（</w:t>
            </w:r>
            <w:r>
              <w:rPr>
                <w:rFonts w:hint="eastAsia" w:ascii="仿宋_GB2312" w:hAnsi="仿宋_GB2312" w:eastAsia="仿宋_GB2312" w:cs="仿宋_GB2312"/>
                <w:sz w:val="21"/>
                <w:szCs w:val="21"/>
                <w:lang w:val="en-US" w:eastAsia="zh-CN"/>
              </w:rPr>
              <w:t>套</w:t>
            </w:r>
            <w:r>
              <w:rPr>
                <w:rFonts w:hint="eastAsia" w:ascii="仿宋_GB2312" w:hAnsi="仿宋_GB2312" w:eastAsia="仿宋_GB2312" w:cs="仿宋_GB2312"/>
                <w:sz w:val="21"/>
                <w:szCs w:val="21"/>
              </w:rPr>
              <w:t>）</w:t>
            </w:r>
          </w:p>
        </w:tc>
      </w:tr>
      <w:tr w14:paraId="3306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18" w:type="dxa"/>
            <w:noWrap w:val="0"/>
            <w:vAlign w:val="center"/>
          </w:tcPr>
          <w:p w14:paraId="66A2983A">
            <w:pPr>
              <w:jc w:val="center"/>
              <w:rPr>
                <w:rFonts w:hint="eastAsia" w:ascii="仿宋_GB2312" w:hAnsi="仿宋_GB2312" w:eastAsia="仿宋_GB2312" w:cs="仿宋_GB2312"/>
                <w:bCs/>
                <w:spacing w:val="-8"/>
                <w:sz w:val="21"/>
                <w:szCs w:val="21"/>
                <w:lang w:eastAsia="zh-CN"/>
              </w:rPr>
            </w:pPr>
            <w:r>
              <w:rPr>
                <w:rFonts w:hint="eastAsia" w:ascii="仿宋_GB2312" w:hAnsi="仿宋_GB2312" w:eastAsia="仿宋_GB2312" w:cs="仿宋_GB2312"/>
                <w:bCs/>
                <w:spacing w:val="-8"/>
                <w:sz w:val="21"/>
                <w:szCs w:val="21"/>
                <w:lang w:val="en-US" w:eastAsia="zh-CN"/>
              </w:rPr>
              <w:t>1</w:t>
            </w:r>
          </w:p>
        </w:tc>
        <w:tc>
          <w:tcPr>
            <w:tcW w:w="1299" w:type="dxa"/>
            <w:noWrap w:val="0"/>
            <w:vAlign w:val="center"/>
          </w:tcPr>
          <w:p w14:paraId="1CEE0CB9">
            <w:pPr>
              <w:jc w:val="center"/>
              <w:rPr>
                <w:rFonts w:hint="eastAsia" w:ascii="仿宋_GB2312" w:hAnsi="仿宋_GB2312" w:eastAsia="仿宋_GB2312" w:cs="仿宋_GB2312"/>
                <w:bCs/>
                <w:spacing w:val="-8"/>
                <w:sz w:val="21"/>
                <w:szCs w:val="21"/>
                <w:lang w:val="en-US" w:eastAsia="zh-CN"/>
              </w:rPr>
            </w:pPr>
            <w:r>
              <w:rPr>
                <w:rFonts w:hint="eastAsia" w:ascii="仿宋_GB2312" w:hAnsi="仿宋_GB2312" w:eastAsia="仿宋_GB2312" w:cs="仿宋_GB2312"/>
                <w:bCs/>
                <w:spacing w:val="-8"/>
                <w:sz w:val="21"/>
                <w:szCs w:val="21"/>
                <w:lang w:val="en-US" w:eastAsia="zh-CN"/>
              </w:rPr>
              <w:t>管道增压泵</w:t>
            </w:r>
          </w:p>
        </w:tc>
        <w:tc>
          <w:tcPr>
            <w:tcW w:w="1500" w:type="dxa"/>
            <w:noWrap w:val="0"/>
            <w:vAlign w:val="center"/>
          </w:tcPr>
          <w:p w14:paraId="4C68AEF5">
            <w:pPr>
              <w:jc w:val="center"/>
              <w:rPr>
                <w:rFonts w:hint="eastAsia" w:ascii="仿宋_GB2312" w:hAnsi="仿宋_GB2312" w:eastAsia="仿宋_GB2312" w:cs="仿宋_GB2312"/>
                <w:bCs/>
                <w:spacing w:val="-8"/>
                <w:sz w:val="21"/>
                <w:szCs w:val="21"/>
                <w:lang w:val="en-US" w:eastAsia="zh-CN"/>
              </w:rPr>
            </w:pPr>
            <w:r>
              <w:rPr>
                <w:rFonts w:hint="eastAsia" w:ascii="仿宋_GB2312" w:hAnsi="仿宋_GB2312" w:eastAsia="仿宋_GB2312" w:cs="仿宋_GB2312"/>
                <w:bCs/>
                <w:spacing w:val="-8"/>
                <w:sz w:val="21"/>
                <w:szCs w:val="21"/>
              </w:rPr>
              <w:t xml:space="preserve">CDLF42-100 </w:t>
            </w:r>
          </w:p>
        </w:tc>
        <w:tc>
          <w:tcPr>
            <w:tcW w:w="1488" w:type="dxa"/>
            <w:noWrap w:val="0"/>
            <w:vAlign w:val="center"/>
          </w:tcPr>
          <w:p w14:paraId="0EDEECDE">
            <w:pPr>
              <w:jc w:val="center"/>
              <w:rPr>
                <w:rFonts w:hint="eastAsia" w:ascii="仿宋_GB2312" w:hAnsi="仿宋_GB2312" w:eastAsia="仿宋_GB2312" w:cs="仿宋_GB2312"/>
                <w:bCs/>
                <w:spacing w:val="-8"/>
                <w:sz w:val="21"/>
                <w:szCs w:val="21"/>
              </w:rPr>
            </w:pPr>
            <w:r>
              <w:rPr>
                <w:rFonts w:hint="eastAsia" w:ascii="仿宋_GB2312" w:hAnsi="仿宋_GB2312" w:eastAsia="仿宋_GB2312" w:cs="仿宋_GB2312"/>
                <w:bCs/>
                <w:spacing w:val="-8"/>
                <w:sz w:val="21"/>
                <w:szCs w:val="21"/>
                <w:lang w:val="en-US" w:eastAsia="zh-CN"/>
              </w:rPr>
              <w:t>114</w:t>
            </w:r>
            <w:r>
              <w:rPr>
                <w:rFonts w:hint="eastAsia" w:ascii="仿宋_GB2312" w:hAnsi="仿宋_GB2312" w:eastAsia="仿宋_GB2312" w:cs="仿宋_GB2312"/>
                <w:bCs/>
                <w:spacing w:val="-8"/>
                <w:sz w:val="21"/>
                <w:szCs w:val="21"/>
              </w:rPr>
              <w:t>0V/660V</w:t>
            </w:r>
          </w:p>
        </w:tc>
        <w:tc>
          <w:tcPr>
            <w:tcW w:w="1246" w:type="dxa"/>
            <w:noWrap w:val="0"/>
            <w:vAlign w:val="center"/>
          </w:tcPr>
          <w:p w14:paraId="5469036A">
            <w:pPr>
              <w:jc w:val="center"/>
              <w:rPr>
                <w:rFonts w:hint="eastAsia" w:ascii="仿宋_GB2312" w:hAnsi="仿宋_GB2312" w:eastAsia="仿宋_GB2312" w:cs="仿宋_GB2312"/>
                <w:bCs/>
                <w:spacing w:val="-8"/>
                <w:sz w:val="21"/>
                <w:szCs w:val="21"/>
                <w:lang w:val="en-US" w:eastAsia="zh-CN"/>
              </w:rPr>
            </w:pPr>
            <w:r>
              <w:rPr>
                <w:rFonts w:hint="eastAsia" w:ascii="仿宋_GB2312" w:hAnsi="仿宋_GB2312" w:eastAsia="仿宋_GB2312" w:cs="仿宋_GB2312"/>
                <w:bCs/>
                <w:spacing w:val="-8"/>
                <w:sz w:val="21"/>
                <w:szCs w:val="21"/>
                <w:lang w:val="en-US" w:eastAsia="zh-CN"/>
              </w:rPr>
              <w:t>≥40</w:t>
            </w:r>
          </w:p>
        </w:tc>
        <w:tc>
          <w:tcPr>
            <w:tcW w:w="1131" w:type="dxa"/>
            <w:noWrap w:val="0"/>
            <w:vAlign w:val="center"/>
          </w:tcPr>
          <w:p w14:paraId="745207E2">
            <w:pPr>
              <w:jc w:val="center"/>
              <w:rPr>
                <w:rFonts w:hint="default" w:ascii="仿宋_GB2312" w:hAnsi="仿宋_GB2312" w:eastAsia="仿宋_GB2312" w:cs="仿宋_GB2312"/>
                <w:bCs/>
                <w:spacing w:val="-8"/>
                <w:sz w:val="21"/>
                <w:szCs w:val="21"/>
                <w:lang w:val="en-US" w:eastAsia="zh-CN"/>
              </w:rPr>
            </w:pPr>
            <w:r>
              <w:rPr>
                <w:rFonts w:hint="eastAsia" w:ascii="仿宋_GB2312" w:hAnsi="仿宋_GB2312" w:eastAsia="仿宋_GB2312" w:cs="仿宋_GB2312"/>
                <w:bCs/>
                <w:spacing w:val="-8"/>
                <w:sz w:val="21"/>
                <w:szCs w:val="21"/>
                <w:lang w:val="en-US" w:eastAsia="zh-CN"/>
              </w:rPr>
              <w:t>200～300</w:t>
            </w:r>
          </w:p>
        </w:tc>
        <w:tc>
          <w:tcPr>
            <w:tcW w:w="1200" w:type="dxa"/>
            <w:noWrap w:val="0"/>
            <w:vAlign w:val="center"/>
          </w:tcPr>
          <w:p w14:paraId="64FB2897">
            <w:pPr>
              <w:jc w:val="center"/>
              <w:rPr>
                <w:rFonts w:hint="eastAsia" w:ascii="仿宋_GB2312" w:hAnsi="仿宋_GB2312" w:eastAsia="仿宋_GB2312" w:cs="仿宋_GB2312"/>
                <w:bCs/>
                <w:sz w:val="21"/>
                <w:szCs w:val="21"/>
                <w:lang w:val="en-US" w:eastAsia="zh-CN"/>
              </w:rPr>
            </w:pPr>
            <w:r>
              <w:rPr>
                <w:rFonts w:hint="eastAsia" w:ascii="仿宋_GB2312" w:hAnsi="仿宋_GB2312" w:eastAsia="仿宋_GB2312" w:cs="仿宋_GB2312"/>
                <w:bCs/>
                <w:sz w:val="21"/>
                <w:szCs w:val="21"/>
                <w:lang w:val="en-US" w:eastAsia="zh-CN"/>
              </w:rPr>
              <w:t>2</w:t>
            </w:r>
          </w:p>
        </w:tc>
      </w:tr>
      <w:tr w14:paraId="1A68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582" w:type="dxa"/>
            <w:gridSpan w:val="7"/>
            <w:noWrap w:val="0"/>
            <w:vAlign w:val="center"/>
          </w:tcPr>
          <w:p w14:paraId="5B11F5F1">
            <w:pPr>
              <w:jc w:val="left"/>
              <w:rPr>
                <w:rFonts w:hint="default" w:ascii="仿宋_GB2312" w:hAnsi="仿宋_GB2312" w:eastAsia="仿宋_GB2312" w:cs="仿宋_GB2312"/>
                <w:bCs/>
                <w:sz w:val="21"/>
                <w:szCs w:val="21"/>
                <w:lang w:val="en-US" w:eastAsia="zh-CN"/>
              </w:rPr>
            </w:pPr>
            <w:r>
              <w:rPr>
                <w:rFonts w:hint="eastAsia" w:ascii="仿宋_GB2312" w:hAnsi="仿宋_GB2312" w:eastAsia="仿宋_GB2312" w:cs="仿宋_GB2312"/>
                <w:bCs/>
                <w:sz w:val="21"/>
                <w:szCs w:val="21"/>
                <w:highlight w:val="yellow"/>
                <w:lang w:val="en-US" w:eastAsia="zh-CN"/>
              </w:rPr>
              <w:t>备注：单套设备包含防爆变频控制柜1套、多级离心泵1台、电机1台及配套的水压监测装置、流量监测装置、压力表等。</w:t>
            </w:r>
          </w:p>
        </w:tc>
      </w:tr>
    </w:tbl>
    <w:p w14:paraId="2E08EF07">
      <w:pPr>
        <w:adjustRightInd w:val="0"/>
        <w:snapToGrid w:val="0"/>
        <w:spacing w:line="520" w:lineRule="exact"/>
        <w:ind w:firstLine="562" w:firstLineChars="200"/>
        <w:rPr>
          <w:rFonts w:hint="eastAsia" w:ascii="仿宋_GB2312" w:hAnsi="宋体" w:eastAsia="仿宋_GB2312"/>
          <w:sz w:val="28"/>
          <w:szCs w:val="28"/>
        </w:rPr>
      </w:pPr>
      <w:r>
        <w:rPr>
          <w:rFonts w:hint="eastAsia" w:ascii="仿宋_GB2312" w:hAnsi="宋体" w:eastAsia="仿宋_GB2312"/>
          <w:b/>
          <w:bCs/>
          <w:sz w:val="28"/>
          <w:szCs w:val="28"/>
          <w:lang w:eastAsia="zh-CN"/>
        </w:rPr>
        <w:t>三、</w:t>
      </w:r>
      <w:bookmarkStart w:id="2" w:name="设计、生产、制造、安装、检验检测所需资质文件"/>
      <w:r>
        <w:rPr>
          <w:rFonts w:hint="eastAsia" w:ascii="仿宋_GB2312" w:hAnsi="宋体" w:eastAsia="仿宋_GB2312"/>
          <w:b/>
          <w:bCs/>
          <w:sz w:val="28"/>
          <w:szCs w:val="28"/>
        </w:rPr>
        <w:t>设计、生产、制造、安装、检验检测所需资质文件</w:t>
      </w:r>
      <w:bookmarkEnd w:id="2"/>
    </w:p>
    <w:p w14:paraId="1B9BE0B4">
      <w:pPr>
        <w:spacing w:line="480" w:lineRule="auto"/>
        <w:ind w:firstLine="560" w:firstLineChars="200"/>
        <w:rPr>
          <w:rFonts w:hint="eastAsia" w:ascii="仿宋_GB2312" w:hAnsi="宋体" w:eastAsia="仿宋_GB2312"/>
          <w:sz w:val="28"/>
          <w:szCs w:val="28"/>
        </w:rPr>
      </w:pPr>
      <w:r>
        <w:rPr>
          <w:rFonts w:hint="eastAsia" w:ascii="仿宋_GB2312" w:hAnsi="宋体" w:eastAsia="仿宋_GB2312"/>
          <w:sz w:val="28"/>
          <w:szCs w:val="28"/>
        </w:rPr>
        <w:t>出卖人应</w:t>
      </w:r>
      <w:r>
        <w:rPr>
          <w:rFonts w:hint="eastAsia" w:ascii="仿宋_GB2312" w:hAnsi="宋体" w:eastAsia="仿宋_GB2312"/>
          <w:sz w:val="28"/>
          <w:szCs w:val="28"/>
          <w:lang w:eastAsia="zh-CN"/>
        </w:rPr>
        <w:t>具</w:t>
      </w:r>
      <w:r>
        <w:rPr>
          <w:rFonts w:hint="eastAsia" w:ascii="仿宋_GB2312" w:hAnsi="宋体" w:eastAsia="仿宋_GB2312"/>
          <w:sz w:val="28"/>
          <w:szCs w:val="28"/>
          <w:lang w:val="en-US" w:eastAsia="zh-CN"/>
        </w:rPr>
        <w:t>有</w:t>
      </w:r>
      <w:r>
        <w:rPr>
          <w:rFonts w:hint="eastAsia" w:ascii="仿宋_GB2312" w:hAnsi="宋体" w:eastAsia="仿宋_GB2312"/>
          <w:sz w:val="28"/>
          <w:szCs w:val="28"/>
          <w:lang w:eastAsia="zh-CN"/>
        </w:rPr>
        <w:t>相应</w:t>
      </w:r>
      <w:r>
        <w:rPr>
          <w:rFonts w:hint="eastAsia" w:ascii="仿宋_GB2312" w:hAnsi="宋体" w:eastAsia="仿宋_GB2312"/>
          <w:sz w:val="28"/>
          <w:szCs w:val="28"/>
          <w:lang w:val="en-US" w:eastAsia="zh-CN"/>
        </w:rPr>
        <w:t>设备、部件</w:t>
      </w:r>
      <w:r>
        <w:rPr>
          <w:rFonts w:hint="eastAsia" w:ascii="仿宋_GB2312" w:hAnsi="宋体" w:eastAsia="仿宋_GB2312"/>
          <w:sz w:val="28"/>
          <w:szCs w:val="28"/>
        </w:rPr>
        <w:t>煤矿安全标志证、防爆合格证、产品合格证等。</w:t>
      </w:r>
    </w:p>
    <w:p w14:paraId="0B8E4749">
      <w:pPr>
        <w:numPr>
          <w:ilvl w:val="0"/>
          <w:numId w:val="0"/>
        </w:numPr>
        <w:wordWrap w:val="0"/>
        <w:adjustRightInd w:val="0"/>
        <w:snapToGrid w:val="0"/>
        <w:spacing w:line="520" w:lineRule="exact"/>
        <w:ind w:firstLine="562" w:firstLineChars="200"/>
        <w:jc w:val="left"/>
        <w:rPr>
          <w:rFonts w:hint="eastAsia" w:ascii="仿宋_GB2312" w:hAnsi="宋体" w:eastAsia="仿宋_GB2312"/>
          <w:sz w:val="28"/>
          <w:szCs w:val="28"/>
        </w:rPr>
      </w:pPr>
      <w:r>
        <w:rPr>
          <w:rFonts w:hint="eastAsia" w:ascii="仿宋_GB2312" w:hAnsi="宋体" w:eastAsia="仿宋_GB2312" w:cs="宋体"/>
          <w:b/>
          <w:bCs/>
          <w:kern w:val="2"/>
          <w:sz w:val="28"/>
          <w:szCs w:val="28"/>
          <w:lang w:val="en-US" w:eastAsia="zh-CN" w:bidi="ar-SA"/>
        </w:rPr>
        <w:t>四、</w:t>
      </w:r>
      <w:bookmarkStart w:id="3" w:name="货物适用标准"/>
      <w:r>
        <w:rPr>
          <w:rFonts w:hint="eastAsia" w:ascii="仿宋_GB2312" w:hAnsi="宋体" w:eastAsia="仿宋_GB2312" w:cs="宋体"/>
          <w:b/>
          <w:bCs/>
          <w:kern w:val="2"/>
          <w:sz w:val="28"/>
          <w:szCs w:val="28"/>
          <w:lang w:val="en-US" w:eastAsia="zh-CN" w:bidi="ar-SA"/>
        </w:rPr>
        <w:fldChar w:fldCharType="begin"/>
      </w:r>
      <w:r>
        <w:rPr>
          <w:rFonts w:hint="eastAsia" w:ascii="仿宋_GB2312" w:hAnsi="宋体" w:eastAsia="仿宋_GB2312" w:cs="宋体"/>
          <w:b/>
          <w:bCs/>
          <w:kern w:val="2"/>
          <w:sz w:val="28"/>
          <w:szCs w:val="28"/>
          <w:lang w:val="en-US" w:eastAsia="zh-CN" w:bidi="ar-SA"/>
        </w:rPr>
        <w:instrText xml:space="preserve"> HYPERLINK \l "货物适用标准" </w:instrText>
      </w:r>
      <w:r>
        <w:rPr>
          <w:rFonts w:hint="eastAsia" w:ascii="仿宋_GB2312" w:hAnsi="宋体" w:eastAsia="仿宋_GB2312" w:cs="宋体"/>
          <w:b/>
          <w:bCs/>
          <w:kern w:val="2"/>
          <w:sz w:val="28"/>
          <w:szCs w:val="28"/>
          <w:lang w:val="en-US" w:eastAsia="zh-CN" w:bidi="ar-SA"/>
        </w:rPr>
        <w:fldChar w:fldCharType="separate"/>
      </w:r>
      <w:r>
        <w:rPr>
          <w:rFonts w:hint="eastAsia" w:ascii="仿宋_GB2312" w:hAnsi="宋体" w:eastAsia="仿宋_GB2312" w:cs="宋体"/>
          <w:b/>
          <w:bCs/>
          <w:kern w:val="2"/>
          <w:sz w:val="28"/>
          <w:szCs w:val="28"/>
          <w:lang w:val="en-US" w:eastAsia="zh-CN" w:bidi="ar-SA"/>
        </w:rPr>
        <w:t>货物适用标准</w:t>
      </w:r>
      <w:r>
        <w:rPr>
          <w:rFonts w:hint="eastAsia" w:ascii="仿宋_GB2312" w:hAnsi="宋体" w:eastAsia="仿宋_GB2312" w:cs="宋体"/>
          <w:b/>
          <w:bCs/>
          <w:kern w:val="2"/>
          <w:sz w:val="28"/>
          <w:szCs w:val="28"/>
          <w:lang w:val="en-US" w:eastAsia="zh-CN" w:bidi="ar-SA"/>
        </w:rPr>
        <w:fldChar w:fldCharType="end"/>
      </w:r>
      <w:bookmarkEnd w:id="3"/>
    </w:p>
    <w:p w14:paraId="187C4F3F">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rPr>
      </w:pPr>
      <w:r>
        <w:rPr>
          <w:rFonts w:hint="eastAsia" w:ascii="仿宋_GB2312" w:hAnsi="宋体" w:eastAsia="仿宋_GB2312"/>
          <w:sz w:val="28"/>
          <w:szCs w:val="28"/>
        </w:rPr>
        <w:t>1、GB/T 3836.1</w:t>
      </w:r>
      <w:r>
        <w:rPr>
          <w:rFonts w:hint="eastAsia" w:ascii="仿宋_GB2312" w:hAnsi="宋体" w:eastAsia="仿宋_GB2312"/>
          <w:sz w:val="28"/>
          <w:szCs w:val="28"/>
        </w:rPr>
        <w:noBreakHyphen/>
      </w:r>
      <w:r>
        <w:rPr>
          <w:rFonts w:hint="eastAsia" w:ascii="仿宋_GB2312" w:hAnsi="宋体" w:eastAsia="仿宋_GB2312"/>
          <w:sz w:val="28"/>
          <w:szCs w:val="28"/>
        </w:rPr>
        <w:t>2021 爆炸性环境 第 1 部分：设备通用要求</w:t>
      </w:r>
      <w:r>
        <w:rPr>
          <w:rFonts w:hint="eastAsia" w:ascii="仿宋_GB2312" w:hAnsi="宋体" w:eastAsia="仿宋_GB2312"/>
          <w:sz w:val="28"/>
          <w:szCs w:val="28"/>
          <w:lang w:eastAsia="zh-CN"/>
        </w:rPr>
        <w:t>。</w:t>
      </w:r>
    </w:p>
    <w:p w14:paraId="0EFB3924">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2、MT 818.1</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2009 煤矿用电缆 第 1 部分：煤矿用移动类阻燃软电缆 第 1 部分：一般规定</w:t>
      </w:r>
      <w:r>
        <w:rPr>
          <w:rFonts w:hint="eastAsia" w:ascii="仿宋_GB2312" w:hAnsi="宋体" w:eastAsia="仿宋_GB2312"/>
          <w:sz w:val="28"/>
          <w:szCs w:val="28"/>
          <w:highlight w:val="none"/>
          <w:lang w:eastAsia="zh-CN"/>
        </w:rPr>
        <w:t>。</w:t>
      </w:r>
    </w:p>
    <w:p w14:paraId="157A805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3、GB/T 1032</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2023 三相异步电机试验方法</w:t>
      </w:r>
      <w:r>
        <w:rPr>
          <w:rFonts w:hint="eastAsia" w:ascii="仿宋_GB2312" w:hAnsi="宋体" w:eastAsia="仿宋_GB2312"/>
          <w:sz w:val="28"/>
          <w:szCs w:val="28"/>
          <w:highlight w:val="none"/>
          <w:lang w:eastAsia="zh-CN"/>
        </w:rPr>
        <w:t>。</w:t>
      </w:r>
    </w:p>
    <w:p w14:paraId="68C68B71">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4、GB/T 5657</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2013 离心泵技术条件（Ⅲ 类）</w:t>
      </w:r>
      <w:r>
        <w:rPr>
          <w:rFonts w:hint="eastAsia" w:ascii="仿宋_GB2312" w:hAnsi="宋体" w:eastAsia="仿宋_GB2312"/>
          <w:sz w:val="28"/>
          <w:szCs w:val="28"/>
          <w:highlight w:val="none"/>
          <w:lang w:eastAsia="zh-CN"/>
        </w:rPr>
        <w:t>。</w:t>
      </w:r>
    </w:p>
    <w:p w14:paraId="29A1EF9C">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5、JB/T 6878</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2006 管道式离心泵</w:t>
      </w:r>
      <w:r>
        <w:rPr>
          <w:rFonts w:hint="eastAsia" w:ascii="仿宋_GB2312" w:hAnsi="宋体" w:eastAsia="仿宋_GB2312"/>
          <w:sz w:val="28"/>
          <w:szCs w:val="28"/>
          <w:highlight w:val="none"/>
          <w:lang w:eastAsia="zh-CN"/>
        </w:rPr>
        <w:t>。</w:t>
      </w:r>
    </w:p>
    <w:p w14:paraId="61811791">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6、GB/T 13384</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2008 机电产品包装通用技术条件</w:t>
      </w:r>
      <w:r>
        <w:rPr>
          <w:rFonts w:hint="eastAsia" w:ascii="仿宋_GB2312" w:hAnsi="宋体" w:eastAsia="仿宋_GB2312"/>
          <w:sz w:val="28"/>
          <w:szCs w:val="28"/>
          <w:highlight w:val="none"/>
          <w:lang w:eastAsia="zh-CN"/>
        </w:rPr>
        <w:t>。</w:t>
      </w:r>
    </w:p>
    <w:p w14:paraId="0A5CBCA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7、GB/T 4942</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2021 旋转电机整体结构的防护等级（IP 代码）分级</w:t>
      </w:r>
      <w:r>
        <w:rPr>
          <w:rFonts w:hint="eastAsia" w:ascii="仿宋_GB2312" w:hAnsi="宋体" w:eastAsia="仿宋_GB2312"/>
          <w:sz w:val="28"/>
          <w:szCs w:val="28"/>
          <w:highlight w:val="none"/>
          <w:lang w:eastAsia="zh-CN"/>
        </w:rPr>
        <w:t>。</w:t>
      </w:r>
    </w:p>
    <w:p w14:paraId="07DDF23D">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8、GB/T 755</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2025 旋转电机定额与性能</w:t>
      </w:r>
      <w:r>
        <w:rPr>
          <w:rFonts w:hint="eastAsia" w:ascii="仿宋_GB2312" w:hAnsi="宋体" w:eastAsia="仿宋_GB2312"/>
          <w:sz w:val="28"/>
          <w:szCs w:val="28"/>
          <w:highlight w:val="none"/>
          <w:lang w:eastAsia="zh-CN"/>
        </w:rPr>
        <w:t>。</w:t>
      </w:r>
    </w:p>
    <w:p w14:paraId="1787EB89">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9、新版《煤矿安全规程》</w:t>
      </w:r>
      <w:r>
        <w:rPr>
          <w:rFonts w:hint="eastAsia" w:ascii="仿宋_GB2312" w:hAnsi="宋体" w:eastAsia="仿宋_GB2312"/>
          <w:sz w:val="28"/>
          <w:szCs w:val="28"/>
          <w:highlight w:val="none"/>
          <w:lang w:eastAsia="zh-CN"/>
        </w:rPr>
        <w:t>。</w:t>
      </w:r>
    </w:p>
    <w:p w14:paraId="54DF0823">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_GB2312" w:hAnsi="宋体" w:eastAsia="仿宋_GB2312"/>
          <w:sz w:val="28"/>
          <w:szCs w:val="28"/>
          <w:highlight w:val="none"/>
        </w:rPr>
      </w:pPr>
      <w:r>
        <w:rPr>
          <w:rFonts w:hint="eastAsia" w:ascii="仿宋_GB2312" w:hAnsi="宋体" w:eastAsia="仿宋_GB2312"/>
          <w:sz w:val="28"/>
          <w:szCs w:val="28"/>
          <w:highlight w:val="none"/>
        </w:rPr>
        <w:t>10、其它相应现行有效的国家标准、行业标准。</w:t>
      </w:r>
    </w:p>
    <w:p w14:paraId="4507F2E8">
      <w:pPr>
        <w:spacing w:line="480" w:lineRule="auto"/>
        <w:ind w:firstLine="562" w:firstLineChars="200"/>
        <w:rPr>
          <w:rFonts w:hint="eastAsia"/>
          <w:sz w:val="28"/>
        </w:rPr>
      </w:pPr>
      <w:r>
        <w:rPr>
          <w:rFonts w:hint="eastAsia" w:ascii="仿宋_GB2312" w:hAnsi="宋体" w:eastAsia="仿宋_GB2312"/>
          <w:b/>
          <w:bCs/>
          <w:sz w:val="28"/>
          <w:szCs w:val="28"/>
          <w:lang w:val="en-US" w:eastAsia="zh-CN"/>
        </w:rPr>
        <w:t>五、</w:t>
      </w:r>
      <w:bookmarkStart w:id="4" w:name="货物使用环境及范围"/>
      <w:r>
        <w:rPr>
          <w:rFonts w:hint="eastAsia" w:ascii="仿宋_GB2312" w:hAnsi="宋体" w:eastAsia="仿宋_GB2312"/>
          <w:b/>
          <w:bCs/>
          <w:sz w:val="28"/>
          <w:szCs w:val="28"/>
        </w:rPr>
        <w:t>货物使用环境及范围</w:t>
      </w:r>
      <w:bookmarkEnd w:id="4"/>
    </w:p>
    <w:p w14:paraId="363319D5">
      <w:pPr>
        <w:ind w:firstLine="560" w:firstLineChars="200"/>
        <w:rPr>
          <w:rFonts w:hint="eastAsia" w:ascii="仿宋_GB2312" w:hAnsi="宋体" w:eastAsia="仿宋_GB2312"/>
          <w:sz w:val="28"/>
          <w:szCs w:val="28"/>
        </w:rPr>
      </w:pPr>
      <w:r>
        <w:rPr>
          <w:rFonts w:hint="eastAsia" w:ascii="仿宋_GB2312" w:hAnsi="宋体" w:eastAsia="仿宋_GB2312"/>
          <w:sz w:val="28"/>
          <w:szCs w:val="28"/>
          <w:lang w:val="en-US" w:eastAsia="zh-CN"/>
        </w:rPr>
        <w:t>1、</w:t>
      </w:r>
      <w:r>
        <w:rPr>
          <w:rFonts w:hint="eastAsia" w:ascii="仿宋_GB2312" w:hAnsi="宋体" w:eastAsia="仿宋_GB2312"/>
          <w:sz w:val="28"/>
          <w:szCs w:val="28"/>
        </w:rPr>
        <w:t>适用于</w:t>
      </w:r>
      <w:r>
        <w:rPr>
          <w:rFonts w:hint="eastAsia" w:ascii="仿宋_GB2312" w:hAnsi="宋体" w:eastAsia="仿宋_GB2312"/>
          <w:sz w:val="28"/>
          <w:szCs w:val="28"/>
          <w:lang w:eastAsia="zh-CN"/>
        </w:rPr>
        <w:t>煤与瓦斯突出矿井</w:t>
      </w:r>
      <w:r>
        <w:rPr>
          <w:rFonts w:hint="eastAsia" w:ascii="仿宋_GB2312" w:hAnsi="宋体" w:eastAsia="仿宋_GB2312"/>
          <w:sz w:val="28"/>
          <w:szCs w:val="28"/>
        </w:rPr>
        <w:t>井下巷道及采掘工作面、其他周围介质中含有甲烷或煤尘爆炸性气体混合物的环境中。</w:t>
      </w:r>
    </w:p>
    <w:p w14:paraId="4E2122C8">
      <w:pPr>
        <w:ind w:firstLine="560" w:firstLineChars="200"/>
        <w:rPr>
          <w:rFonts w:hint="eastAsia" w:ascii="仿宋_GB2312" w:hAnsi="宋体" w:eastAsia="仿宋_GB2312"/>
          <w:sz w:val="28"/>
          <w:szCs w:val="28"/>
        </w:rPr>
      </w:pPr>
      <w:r>
        <w:rPr>
          <w:rFonts w:hint="eastAsia" w:ascii="仿宋_GB2312" w:hAnsi="宋体" w:eastAsia="仿宋_GB2312"/>
          <w:sz w:val="28"/>
          <w:szCs w:val="28"/>
          <w:lang w:val="en-US" w:eastAsia="zh-CN"/>
        </w:rPr>
        <w:t>2、水温</w:t>
      </w:r>
      <w:r>
        <w:rPr>
          <w:rFonts w:hint="eastAsia" w:ascii="仿宋_GB2312" w:hAnsi="宋体" w:eastAsia="仿宋_GB2312"/>
          <w:sz w:val="28"/>
          <w:szCs w:val="28"/>
        </w:rPr>
        <w:t>不超过</w:t>
      </w:r>
      <w:r>
        <w:rPr>
          <w:rFonts w:hint="eastAsia" w:ascii="仿宋_GB2312" w:hAnsi="宋体" w:eastAsia="仿宋_GB2312"/>
          <w:sz w:val="28"/>
          <w:szCs w:val="28"/>
          <w:lang w:val="en-US" w:eastAsia="zh-CN"/>
        </w:rPr>
        <w:t>5</w:t>
      </w:r>
      <w:r>
        <w:rPr>
          <w:rFonts w:hint="eastAsia" w:ascii="仿宋_GB2312" w:hAnsi="宋体" w:eastAsia="仿宋_GB2312"/>
          <w:sz w:val="28"/>
          <w:szCs w:val="28"/>
        </w:rPr>
        <w:t>0℃，工作环境温度0～40℃。</w:t>
      </w:r>
    </w:p>
    <w:p w14:paraId="399EEA6D">
      <w:pPr>
        <w:ind w:firstLine="560" w:firstLineChars="200"/>
        <w:rPr>
          <w:rFonts w:hint="eastAsia" w:ascii="仿宋_GB2312" w:hAnsi="宋体" w:eastAsia="仿宋_GB2312"/>
          <w:sz w:val="28"/>
          <w:szCs w:val="28"/>
        </w:rPr>
      </w:pPr>
      <w:r>
        <w:rPr>
          <w:rFonts w:hint="eastAsia" w:ascii="仿宋_GB2312" w:hAnsi="宋体" w:eastAsia="仿宋_GB2312"/>
          <w:sz w:val="28"/>
          <w:szCs w:val="28"/>
          <w:lang w:val="en-US" w:eastAsia="zh-CN"/>
        </w:rPr>
        <w:t>3、管道中水的</w:t>
      </w:r>
      <w:r>
        <w:rPr>
          <w:rFonts w:hint="eastAsia" w:ascii="仿宋_GB2312" w:hAnsi="宋体" w:eastAsia="仿宋_GB2312"/>
          <w:sz w:val="28"/>
          <w:szCs w:val="28"/>
        </w:rPr>
        <w:t>PH值为6～9。</w:t>
      </w:r>
    </w:p>
    <w:p w14:paraId="07537458">
      <w:pPr>
        <w:ind w:firstLine="560" w:firstLineChars="200"/>
        <w:rPr>
          <w:rFonts w:hint="eastAsia" w:ascii="仿宋_GB2312" w:hAnsi="宋体" w:eastAsia="仿宋_GB2312"/>
          <w:sz w:val="28"/>
          <w:szCs w:val="28"/>
        </w:rPr>
      </w:pPr>
      <w:r>
        <w:rPr>
          <w:rFonts w:hint="eastAsia" w:ascii="仿宋_GB2312" w:hAnsi="宋体" w:eastAsia="仿宋_GB2312"/>
          <w:sz w:val="28"/>
          <w:szCs w:val="28"/>
          <w:lang w:val="en-US" w:eastAsia="zh-CN"/>
        </w:rPr>
        <w:t>4、</w:t>
      </w:r>
      <w:r>
        <w:rPr>
          <w:rFonts w:hint="eastAsia" w:ascii="仿宋_GB2312" w:hAnsi="宋体" w:eastAsia="仿宋_GB2312"/>
          <w:sz w:val="28"/>
          <w:szCs w:val="28"/>
        </w:rPr>
        <w:t>电源额定频率为50Hz，电机应支持 1140V/660V 双电压接线（允许偏差±5%）的三相交流电</w:t>
      </w:r>
      <w:r>
        <w:rPr>
          <w:rFonts w:hint="eastAsia" w:ascii="仿宋_GB2312" w:hAnsi="宋体" w:eastAsia="仿宋_GB2312"/>
          <w:sz w:val="28"/>
          <w:szCs w:val="28"/>
          <w:lang w:eastAsia="zh-CN"/>
        </w:rPr>
        <w:t>；</w:t>
      </w:r>
      <w:r>
        <w:rPr>
          <w:rFonts w:hint="eastAsia" w:ascii="仿宋_GB2312" w:hAnsi="宋体" w:eastAsia="仿宋_GB2312"/>
          <w:sz w:val="28"/>
          <w:szCs w:val="28"/>
          <w:lang w:val="en-US" w:eastAsia="zh-CN"/>
        </w:rPr>
        <w:t>出厂时电压</w:t>
      </w:r>
      <w:r>
        <w:rPr>
          <w:rFonts w:hint="eastAsia" w:ascii="仿宋_GB2312" w:hAnsi="宋体" w:eastAsia="仿宋_GB2312"/>
          <w:sz w:val="28"/>
          <w:szCs w:val="28"/>
        </w:rPr>
        <w:t>定为</w:t>
      </w:r>
      <w:r>
        <w:rPr>
          <w:rFonts w:hint="eastAsia" w:ascii="仿宋_GB2312" w:hAnsi="宋体" w:eastAsia="仿宋_GB2312"/>
          <w:sz w:val="28"/>
          <w:szCs w:val="28"/>
          <w:lang w:val="en-US" w:eastAsia="zh-CN"/>
        </w:rPr>
        <w:t>114</w:t>
      </w:r>
      <w:r>
        <w:rPr>
          <w:rFonts w:hint="eastAsia" w:ascii="仿宋_GB2312" w:hAnsi="宋体" w:eastAsia="仿宋_GB2312"/>
          <w:sz w:val="28"/>
          <w:szCs w:val="28"/>
        </w:rPr>
        <w:t>0V</w:t>
      </w:r>
      <w:r>
        <w:rPr>
          <w:rFonts w:hint="eastAsia" w:ascii="仿宋_GB2312" w:hAnsi="宋体" w:eastAsia="仿宋_GB2312"/>
          <w:sz w:val="28"/>
          <w:szCs w:val="28"/>
          <w:lang w:eastAsia="zh-CN"/>
        </w:rPr>
        <w:t>。</w:t>
      </w:r>
    </w:p>
    <w:p w14:paraId="3E06DB16">
      <w:pPr>
        <w:pStyle w:val="4"/>
        <w:keepNext w:val="0"/>
        <w:keepLines w:val="0"/>
        <w:pageBreakBefore w:val="0"/>
        <w:widowControl w:val="0"/>
        <w:kinsoku/>
        <w:wordWrap/>
        <w:overflowPunct/>
        <w:topLinePunct w:val="0"/>
        <w:autoSpaceDE/>
        <w:autoSpaceDN/>
        <w:bidi w:val="0"/>
        <w:adjustRightInd w:val="0"/>
        <w:snapToGrid/>
        <w:ind w:firstLine="560" w:firstLineChars="200"/>
        <w:textAlignment w:val="baseline"/>
        <w:rPr>
          <w:rFonts w:hint="default" w:ascii="仿宋_GB2312" w:hAnsi="宋体" w:eastAsia="仿宋_GB2312"/>
          <w:sz w:val="28"/>
          <w:szCs w:val="28"/>
          <w:lang w:val="en-US" w:eastAsia="zh-CN"/>
        </w:rPr>
      </w:pPr>
      <w:r>
        <w:rPr>
          <w:rFonts w:hint="eastAsia" w:ascii="仿宋_GB2312" w:hAnsi="宋体" w:eastAsia="仿宋_GB2312"/>
          <w:sz w:val="28"/>
          <w:szCs w:val="28"/>
          <w:lang w:val="en-US" w:eastAsia="zh-CN"/>
        </w:rPr>
        <w:t>5、管道增压泵出厂时，电机及电缆绝缘电阻不低于500兆欧。</w:t>
      </w:r>
    </w:p>
    <w:p w14:paraId="23495F0D">
      <w:pPr>
        <w:pStyle w:val="4"/>
        <w:rPr>
          <w:rFonts w:hint="eastAsia" w:ascii="仿宋_GB2312" w:hAnsi="宋体" w:eastAsia="仿宋_GB2312" w:cs="Times New Roman"/>
          <w:b/>
          <w:bCs/>
          <w:kern w:val="2"/>
          <w:sz w:val="28"/>
          <w:szCs w:val="28"/>
          <w:lang w:val="en-US" w:eastAsia="zh-CN" w:bidi="ar-SA"/>
        </w:rPr>
      </w:pPr>
      <w:bookmarkStart w:id="5" w:name="主要部件（设备）配置要求"/>
      <w:bookmarkEnd w:id="5"/>
      <w:r>
        <w:rPr>
          <w:rFonts w:hint="eastAsia" w:ascii="仿宋_GB2312" w:hAnsi="宋体" w:eastAsia="仿宋_GB2312" w:cs="Times New Roman"/>
          <w:b/>
          <w:bCs/>
          <w:kern w:val="2"/>
          <w:sz w:val="28"/>
          <w:szCs w:val="28"/>
          <w:lang w:val="en-US" w:eastAsia="zh-CN" w:bidi="ar-SA"/>
        </w:rPr>
        <w:t>六、主要部件（设备）配置要求（参考型号）</w:t>
      </w:r>
    </w:p>
    <w:p w14:paraId="261C717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1、管道增压泵由防爆变频控制柜、多级离心泵、电机、水压监测装置、流量监测装置、压力表等组成。管道增压泵流量≥40m</w:t>
      </w:r>
      <w:r>
        <w:rPr>
          <w:rFonts w:hint="eastAsia" w:ascii="仿宋_GB2312" w:hAnsi="仿宋_GB2312" w:eastAsia="仿宋_GB2312" w:cs="仿宋_GB2312"/>
          <w:bCs/>
          <w:sz w:val="28"/>
          <w:szCs w:val="28"/>
          <w:vertAlign w:val="superscript"/>
          <w:lang w:val="en-US" w:eastAsia="zh-CN"/>
        </w:rPr>
        <w:t>3</w:t>
      </w:r>
      <w:r>
        <w:rPr>
          <w:rFonts w:hint="eastAsia" w:ascii="仿宋_GB2312" w:hAnsi="仿宋_GB2312" w:eastAsia="仿宋_GB2312" w:cs="仿宋_GB2312"/>
          <w:bCs/>
          <w:sz w:val="28"/>
          <w:szCs w:val="28"/>
          <w:lang w:val="en-US" w:eastAsia="zh-CN"/>
        </w:rPr>
        <w:t>/h、200m</w:t>
      </w:r>
      <w:r>
        <w:rPr>
          <w:rFonts w:hint="default" w:ascii="仿宋_GB2312" w:hAnsi="仿宋_GB2312" w:eastAsia="仿宋_GB2312" w:cs="仿宋_GB2312"/>
          <w:bCs/>
          <w:sz w:val="28"/>
          <w:szCs w:val="28"/>
          <w:lang w:val="en-US" w:eastAsia="zh-CN"/>
        </w:rPr>
        <w:t>≤</w:t>
      </w:r>
      <w:r>
        <w:rPr>
          <w:rFonts w:hint="eastAsia" w:ascii="仿宋_GB2312" w:hAnsi="仿宋_GB2312" w:eastAsia="仿宋_GB2312" w:cs="仿宋_GB2312"/>
          <w:bCs/>
          <w:sz w:val="28"/>
          <w:szCs w:val="28"/>
          <w:lang w:val="en-US" w:eastAsia="zh-CN"/>
        </w:rPr>
        <w:t>扬程</w:t>
      </w:r>
      <w:r>
        <w:rPr>
          <w:rFonts w:hint="default" w:ascii="仿宋_GB2312" w:hAnsi="仿宋_GB2312" w:eastAsia="仿宋_GB2312" w:cs="仿宋_GB2312"/>
          <w:bCs/>
          <w:sz w:val="28"/>
          <w:szCs w:val="28"/>
          <w:lang w:val="en-US" w:eastAsia="zh-CN"/>
        </w:rPr>
        <w:t>≤</w:t>
      </w:r>
      <w:r>
        <w:rPr>
          <w:rFonts w:hint="eastAsia" w:ascii="仿宋_GB2312" w:hAnsi="仿宋_GB2312" w:eastAsia="仿宋_GB2312" w:cs="仿宋_GB2312"/>
          <w:bCs/>
          <w:sz w:val="28"/>
          <w:szCs w:val="28"/>
          <w:lang w:val="en-US" w:eastAsia="zh-CN"/>
        </w:rPr>
        <w:t>300m。</w:t>
      </w:r>
    </w:p>
    <w:p w14:paraId="4515652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2、管道增压泵</w:t>
      </w:r>
      <w:r>
        <w:rPr>
          <w:rFonts w:hint="default" w:ascii="仿宋_GB2312" w:hAnsi="仿宋_GB2312" w:eastAsia="仿宋_GB2312" w:cs="仿宋_GB2312"/>
          <w:bCs/>
          <w:sz w:val="28"/>
          <w:szCs w:val="28"/>
          <w:lang w:val="en-US" w:eastAsia="zh-CN"/>
        </w:rPr>
        <w:t>工作介质为矿井底板钻孔水，水质偏酸，弱腐蚀性，水中含有微小颗粒杂质。</w:t>
      </w:r>
      <w:r>
        <w:rPr>
          <w:rFonts w:hint="eastAsia" w:ascii="仿宋_GB2312" w:hAnsi="仿宋_GB2312" w:eastAsia="仿宋_GB2312" w:cs="仿宋_GB2312"/>
          <w:bCs/>
          <w:sz w:val="28"/>
          <w:szCs w:val="28"/>
          <w:lang w:val="en-US" w:eastAsia="zh-CN"/>
        </w:rPr>
        <w:t>管道增压泵</w:t>
      </w:r>
      <w:r>
        <w:rPr>
          <w:rFonts w:hint="default" w:ascii="仿宋_GB2312" w:hAnsi="仿宋_GB2312" w:eastAsia="仿宋_GB2312" w:cs="仿宋_GB2312"/>
          <w:bCs/>
          <w:sz w:val="28"/>
          <w:szCs w:val="28"/>
          <w:lang w:val="en-US" w:eastAsia="zh-CN"/>
        </w:rPr>
        <w:t>叶轮必须采用耐磨、耐腐蚀的304不锈钢材质</w:t>
      </w:r>
      <w:r>
        <w:rPr>
          <w:rFonts w:hint="eastAsia" w:ascii="仿宋_GB2312" w:hAnsi="仿宋_GB2312" w:eastAsia="仿宋_GB2312" w:cs="仿宋_GB2312"/>
          <w:bCs/>
          <w:sz w:val="28"/>
          <w:szCs w:val="28"/>
          <w:lang w:val="en-US" w:eastAsia="zh-CN"/>
        </w:rPr>
        <w:t>，功率37kW。</w:t>
      </w:r>
    </w:p>
    <w:p w14:paraId="6ED9913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3、管道增压泵安装在φ108供水管路上，在进水侧水压不小于0.3MPa时（水量满足），管道增压泵能够正常运行，出水口水压介于2MPa与3MPa之间，根据用水侧水量变化，能够通过变频控制柜对水压和流量进行自动调节，避免水泵或电机损坏；通过变频控制柜，能够人工设定运行参数，对出水侧水压进行调节。</w:t>
      </w:r>
    </w:p>
    <w:p w14:paraId="3B67182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4、在管道增压泵进水侧安装水压、水量监测保护装置，在进水侧出现缺水时，进水压力低于 0.25MPa时，泵自动停机并报警，控制柜能够显示并保存故障信息。在管道增压泵出水侧安装水压监测装置，能够自动调节水压，使水压在2MPa与3MPa之间运行，超出水压范围时能延时30S停机。</w:t>
      </w:r>
    </w:p>
    <w:p w14:paraId="58AE153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val="en-US" w:eastAsia="zh-CN"/>
        </w:rPr>
        <w:t>5、管道增压泵</w:t>
      </w:r>
      <w:r>
        <w:rPr>
          <w:rFonts w:hint="default" w:ascii="仿宋_GB2312" w:hAnsi="仿宋_GB2312" w:eastAsia="仿宋_GB2312" w:cs="仿宋_GB2312"/>
          <w:bCs/>
          <w:sz w:val="28"/>
          <w:szCs w:val="28"/>
          <w:lang w:val="en-US" w:eastAsia="zh-CN"/>
        </w:rPr>
        <w:t>轴封采用耐磨机械密封或机械密封组合，保证无泄漏，延长离心管道泵使用寿命。</w:t>
      </w:r>
      <w:r>
        <w:rPr>
          <w:rFonts w:hint="eastAsia" w:ascii="仿宋_GB2312" w:hAnsi="仿宋_GB2312" w:eastAsia="仿宋_GB2312" w:cs="仿宋_GB2312"/>
          <w:bCs/>
          <w:sz w:val="28"/>
          <w:szCs w:val="28"/>
          <w:lang w:val="en-US" w:eastAsia="zh-CN"/>
        </w:rPr>
        <w:t>管道增压泵随机配件含配套机封1套。</w:t>
      </w:r>
    </w:p>
    <w:p w14:paraId="77C39B7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lang w:val="en-US" w:eastAsia="zh-CN"/>
        </w:rPr>
      </w:pPr>
      <w:r>
        <w:rPr>
          <w:rFonts w:hint="eastAsia" w:ascii="仿宋_GB2312" w:hAnsi="仿宋_GB2312" w:eastAsia="仿宋_GB2312" w:cs="仿宋_GB2312"/>
          <w:bCs/>
          <w:sz w:val="28"/>
          <w:szCs w:val="28"/>
          <w:lang w:val="en-US" w:eastAsia="zh-CN"/>
        </w:rPr>
        <w:t>6、</w:t>
      </w:r>
      <w:r>
        <w:rPr>
          <w:rFonts w:hint="eastAsia" w:ascii="仿宋_GB2312" w:hAnsi="宋体" w:eastAsia="仿宋_GB2312" w:cs="宋体"/>
          <w:kern w:val="0"/>
          <w:sz w:val="28"/>
          <w:szCs w:val="28"/>
          <w:highlight w:val="yellow"/>
          <w:lang w:val="en-US" w:eastAsia="zh-CN" w:bidi="ar-SA"/>
        </w:rPr>
        <w:t>离心泵</w:t>
      </w:r>
      <w:r>
        <w:rPr>
          <w:rFonts w:hint="eastAsia" w:ascii="仿宋_GB2312" w:hAnsi="宋体" w:eastAsia="仿宋_GB2312" w:cs="宋体"/>
          <w:kern w:val="0"/>
          <w:sz w:val="28"/>
          <w:szCs w:val="28"/>
          <w:lang w:val="en-US" w:eastAsia="zh-CN" w:bidi="ar-SA"/>
        </w:rPr>
        <w:t>必须具备有效的矿用产品安全标志证书，</w:t>
      </w:r>
      <w:r>
        <w:rPr>
          <w:rFonts w:hint="eastAsia" w:ascii="仿宋_GB2312" w:hAnsi="仿宋_GB2312" w:eastAsia="仿宋_GB2312" w:cs="仿宋_GB2312"/>
          <w:bCs/>
          <w:kern w:val="2"/>
          <w:sz w:val="28"/>
          <w:szCs w:val="28"/>
          <w:lang w:val="en-US" w:eastAsia="zh-CN" w:bidi="ar-SA"/>
        </w:rPr>
        <w:t>配套的电机、防爆变频控制柜等电气部分须具备有效的矿用产品安全标志（MA）证书及对应防爆合格证；电缆具备矿用安全标志证书；所有证书适用范围满足煤矿井下采掘头面安装要求；电缆同时提供第三方阻燃、抗静电检测报告。</w:t>
      </w:r>
    </w:p>
    <w:p w14:paraId="0E5BFC3F">
      <w:pPr>
        <w:spacing w:line="480" w:lineRule="auto"/>
        <w:ind w:firstLine="560" w:firstLineChars="200"/>
        <w:rPr>
          <w:rFonts w:hint="eastAsia" w:ascii="仿宋_GB2312" w:hAnsi="宋体" w:eastAsia="仿宋_GB2312"/>
          <w:sz w:val="28"/>
          <w:szCs w:val="28"/>
        </w:rPr>
      </w:pPr>
      <w:r>
        <w:rPr>
          <w:rFonts w:hint="eastAsia" w:ascii="仿宋_GB2312" w:hAnsi="宋体" w:eastAsia="仿宋_GB2312"/>
          <w:sz w:val="28"/>
          <w:szCs w:val="28"/>
          <w:lang w:val="en-US" w:eastAsia="zh-CN"/>
        </w:rPr>
        <w:t>7、</w:t>
      </w:r>
      <w:r>
        <w:rPr>
          <w:rFonts w:hint="eastAsia" w:ascii="仿宋_GB2312" w:hAnsi="仿宋_GB2312" w:eastAsia="仿宋_GB2312" w:cs="仿宋_GB2312"/>
          <w:bCs/>
          <w:sz w:val="28"/>
          <w:szCs w:val="28"/>
          <w:lang w:val="en-US" w:eastAsia="zh-CN"/>
        </w:rPr>
        <w:t>管道增</w:t>
      </w:r>
      <w:r>
        <w:rPr>
          <w:rFonts w:hint="eastAsia" w:ascii="仿宋_GB2312" w:hAnsi="宋体" w:eastAsia="仿宋_GB2312"/>
          <w:sz w:val="28"/>
          <w:szCs w:val="28"/>
          <w:lang w:val="en-US" w:eastAsia="zh-CN"/>
        </w:rPr>
        <w:t>压泵配套电机采用国内一线品牌的YBK3系列矿用I类隔爆电动机，电动机定额以连续工作制（S1）为基准的连续定额。管道增压泵</w:t>
      </w:r>
      <w:r>
        <w:rPr>
          <w:rFonts w:hint="default" w:ascii="仿宋_GB2312" w:hAnsi="宋体" w:eastAsia="仿宋_GB2312"/>
          <w:sz w:val="28"/>
          <w:szCs w:val="28"/>
          <w:lang w:val="en-US" w:eastAsia="zh-CN"/>
        </w:rPr>
        <w:t>结构紧凑，</w:t>
      </w:r>
      <w:r>
        <w:rPr>
          <w:rFonts w:hint="eastAsia" w:ascii="仿宋_GB2312" w:hAnsi="宋体" w:eastAsia="仿宋_GB2312"/>
          <w:sz w:val="28"/>
          <w:szCs w:val="28"/>
          <w:lang w:val="en-US" w:eastAsia="zh-CN"/>
        </w:rPr>
        <w:t>有安装在底板上的底座（配有地脚螺栓孔）。</w:t>
      </w:r>
      <w:r>
        <w:rPr>
          <w:rFonts w:hint="default" w:ascii="仿宋_GB2312" w:hAnsi="宋体" w:eastAsia="仿宋_GB2312"/>
          <w:sz w:val="28"/>
          <w:szCs w:val="28"/>
        </w:rPr>
        <w:t>泵能有效地平衡泵运转产生的径向和轴向负荷，保证</w:t>
      </w:r>
      <w:r>
        <w:rPr>
          <w:rFonts w:hint="eastAsia" w:ascii="仿宋_GB2312" w:hAnsi="宋体" w:eastAsia="仿宋_GB2312"/>
          <w:sz w:val="28"/>
          <w:szCs w:val="28"/>
          <w:lang w:val="en-US" w:eastAsia="zh-CN"/>
        </w:rPr>
        <w:t>管道增压泵</w:t>
      </w:r>
      <w:r>
        <w:rPr>
          <w:rFonts w:hint="default" w:ascii="仿宋_GB2312" w:hAnsi="宋体" w:eastAsia="仿宋_GB2312"/>
          <w:sz w:val="28"/>
          <w:szCs w:val="28"/>
        </w:rPr>
        <w:t>运行平稳，振动小，距离设备外壳 1m 处，满负荷运行噪声≤80dB (A)。</w:t>
      </w:r>
    </w:p>
    <w:p w14:paraId="423307D6">
      <w:pPr>
        <w:spacing w:line="480" w:lineRule="auto"/>
        <w:ind w:firstLine="560" w:firstLineChars="200"/>
        <w:rPr>
          <w:rFonts w:hint="eastAsia" w:ascii="宋体" w:hAnsi="宋体" w:eastAsia="宋体" w:cs="宋体"/>
          <w:sz w:val="24"/>
          <w:szCs w:val="24"/>
          <w:lang w:eastAsia="zh-CN"/>
        </w:rPr>
      </w:pPr>
      <w:r>
        <w:rPr>
          <w:rFonts w:hint="eastAsia" w:ascii="仿宋_GB2312" w:hAnsi="宋体" w:eastAsia="仿宋_GB2312"/>
          <w:sz w:val="28"/>
          <w:szCs w:val="28"/>
          <w:lang w:val="en-US" w:eastAsia="zh-CN"/>
        </w:rPr>
        <w:t>8、</w:t>
      </w:r>
      <w:r>
        <w:rPr>
          <w:rFonts w:hint="eastAsia" w:ascii="仿宋_GB2312" w:hAnsi="仿宋_GB2312" w:eastAsia="仿宋_GB2312" w:cs="仿宋_GB2312"/>
          <w:bCs/>
          <w:sz w:val="28"/>
          <w:szCs w:val="28"/>
          <w:lang w:val="en-US" w:eastAsia="zh-CN"/>
        </w:rPr>
        <w:t>管道增压泵</w:t>
      </w:r>
      <w:r>
        <w:rPr>
          <w:rFonts w:hint="eastAsia" w:ascii="仿宋_GB2312" w:hAnsi="宋体" w:eastAsia="仿宋_GB2312"/>
          <w:sz w:val="28"/>
          <w:szCs w:val="28"/>
        </w:rPr>
        <w:t>用电动</w:t>
      </w:r>
      <w:r>
        <w:rPr>
          <w:rFonts w:hint="eastAsia" w:ascii="仿宋_GB2312" w:hAnsi="宋体" w:eastAsia="仿宋_GB2312"/>
          <w:sz w:val="28"/>
          <w:szCs w:val="28"/>
          <w:lang w:val="en-US" w:eastAsia="zh-CN"/>
        </w:rPr>
        <w:t>机的防护等级符合GB/T 4942</w:t>
      </w:r>
      <w:r>
        <w:rPr>
          <w:rFonts w:hint="eastAsia" w:ascii="仿宋_GB2312" w:hAnsi="宋体" w:eastAsia="仿宋_GB2312"/>
          <w:sz w:val="28"/>
          <w:szCs w:val="28"/>
          <w:lang w:val="en-US" w:eastAsia="zh-CN"/>
        </w:rPr>
        <w:noBreakHyphen/>
      </w:r>
      <w:r>
        <w:rPr>
          <w:rFonts w:hint="eastAsia" w:ascii="仿宋_GB2312" w:hAnsi="宋体" w:eastAsia="仿宋_GB2312"/>
          <w:sz w:val="28"/>
          <w:szCs w:val="28"/>
          <w:lang w:val="en-US" w:eastAsia="zh-CN"/>
        </w:rPr>
        <w:t>2021《旋转电机整体结构的防护等级（IP 代码）分级》要求。</w:t>
      </w:r>
    </w:p>
    <w:p w14:paraId="3FB07513">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9、电动机的定子绕组铜线应采用优质铜材漆包线，电机转子导条的材质应采用优质铜。定子绕组绝缘材料应采用不低于F级优质绝缘材料。</w:t>
      </w:r>
    </w:p>
    <w:p w14:paraId="6AF11DCE">
      <w:pPr>
        <w:spacing w:line="480" w:lineRule="auto"/>
        <w:ind w:firstLine="560" w:firstLineChars="200"/>
        <w:rPr>
          <w:rFonts w:hint="eastAsia" w:ascii="仿宋_GB2312" w:hAnsi="宋体" w:eastAsia="仿宋_GB2312"/>
          <w:sz w:val="28"/>
          <w:szCs w:val="28"/>
          <w:highlight w:val="none"/>
        </w:rPr>
      </w:pPr>
      <w:r>
        <w:rPr>
          <w:rFonts w:hint="eastAsia" w:ascii="仿宋_GB2312" w:hAnsi="宋体" w:eastAsia="仿宋_GB2312"/>
          <w:sz w:val="28"/>
          <w:szCs w:val="28"/>
          <w:highlight w:val="none"/>
          <w:lang w:val="en-US" w:eastAsia="zh-CN"/>
        </w:rPr>
        <w:t>10、</w:t>
      </w:r>
      <w:r>
        <w:rPr>
          <w:rFonts w:hint="eastAsia" w:ascii="仿宋_GB2312" w:hAnsi="宋体" w:eastAsia="仿宋_GB2312"/>
          <w:sz w:val="28"/>
          <w:szCs w:val="28"/>
          <w:highlight w:val="none"/>
        </w:rPr>
        <w:t>电动机应有可靠的接地装置，内外接地装置及其标志应符合GB/T 3836.1</w:t>
      </w:r>
      <w:r>
        <w:rPr>
          <w:rFonts w:hint="eastAsia" w:ascii="仿宋_GB2312" w:hAnsi="宋体" w:eastAsia="仿宋_GB2312"/>
          <w:sz w:val="28"/>
          <w:szCs w:val="28"/>
          <w:highlight w:val="none"/>
        </w:rPr>
        <w:noBreakHyphen/>
      </w:r>
      <w:r>
        <w:rPr>
          <w:rFonts w:hint="eastAsia" w:ascii="仿宋_GB2312" w:hAnsi="宋体" w:eastAsia="仿宋_GB2312"/>
          <w:sz w:val="28"/>
          <w:szCs w:val="28"/>
          <w:highlight w:val="none"/>
        </w:rPr>
        <w:t>2021中</w:t>
      </w:r>
      <w:r>
        <w:rPr>
          <w:rFonts w:hint="eastAsia" w:ascii="仿宋_GB2312" w:hAnsi="宋体" w:eastAsia="仿宋_GB2312"/>
          <w:sz w:val="28"/>
          <w:szCs w:val="28"/>
          <w:highlight w:val="none"/>
          <w:lang w:eastAsia="zh-CN"/>
        </w:rPr>
        <w:t>相关规定</w:t>
      </w:r>
      <w:r>
        <w:rPr>
          <w:rFonts w:hint="eastAsia" w:ascii="仿宋_GB2312" w:hAnsi="宋体" w:eastAsia="仿宋_GB2312"/>
          <w:sz w:val="28"/>
          <w:szCs w:val="28"/>
          <w:highlight w:val="none"/>
        </w:rPr>
        <w:t>。</w:t>
      </w:r>
    </w:p>
    <w:p w14:paraId="4FBDFC3C">
      <w:pPr>
        <w:spacing w:line="480" w:lineRule="auto"/>
        <w:ind w:firstLine="560" w:firstLineChars="200"/>
        <w:rPr>
          <w:rFonts w:hint="eastAsia" w:ascii="仿宋_GB2312" w:hAnsi="宋体" w:eastAsia="仿宋_GB2312"/>
          <w:sz w:val="28"/>
          <w:szCs w:val="28"/>
        </w:rPr>
      </w:pPr>
      <w:r>
        <w:rPr>
          <w:rFonts w:hint="eastAsia" w:ascii="仿宋_GB2312" w:hAnsi="宋体" w:eastAsia="仿宋_GB2312"/>
          <w:sz w:val="28"/>
          <w:szCs w:val="28"/>
          <w:lang w:val="en-US" w:eastAsia="zh-CN"/>
        </w:rPr>
        <w:t>11、</w:t>
      </w:r>
      <w:r>
        <w:rPr>
          <w:rFonts w:hint="eastAsia" w:ascii="仿宋_GB2312" w:hAnsi="宋体" w:eastAsia="仿宋_GB2312"/>
          <w:sz w:val="28"/>
          <w:szCs w:val="28"/>
        </w:rPr>
        <w:t>泵体上应显著标注旋转方向，并在泵体上直接铸出；铭牌应清晰，固定可靠，不易脱落。</w:t>
      </w:r>
      <w:r>
        <w:rPr>
          <w:rFonts w:hint="eastAsia" w:ascii="仿宋_GB2312" w:hAnsi="宋体" w:eastAsia="仿宋_GB2312"/>
          <w:sz w:val="28"/>
          <w:szCs w:val="28"/>
          <w:lang w:eastAsia="zh-CN"/>
        </w:rPr>
        <w:t>电机及管道增压泵</w:t>
      </w:r>
      <w:r>
        <w:rPr>
          <w:rFonts w:hint="default" w:ascii="仿宋_GB2312" w:hAnsi="宋体" w:eastAsia="仿宋_GB2312"/>
          <w:sz w:val="28"/>
          <w:szCs w:val="28"/>
        </w:rPr>
        <w:t>裸露的转动部位必须加装防护罩</w:t>
      </w:r>
      <w:r>
        <w:rPr>
          <w:rFonts w:hint="eastAsia" w:ascii="仿宋_GB2312" w:hAnsi="宋体" w:eastAsia="仿宋_GB2312"/>
          <w:sz w:val="28"/>
          <w:szCs w:val="28"/>
          <w:lang w:eastAsia="zh-CN"/>
        </w:rPr>
        <w:t>，并有旋转部位提示牌。</w:t>
      </w:r>
    </w:p>
    <w:p w14:paraId="11772854">
      <w:pPr>
        <w:spacing w:line="480" w:lineRule="auto"/>
        <w:ind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12、出卖人提供的设备必须是全新设备。</w:t>
      </w:r>
    </w:p>
    <w:p w14:paraId="2EE43F57">
      <w:pPr>
        <w:spacing w:line="480" w:lineRule="auto"/>
        <w:ind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13、泵体上部应有起吊环，便于起吊搬运。泵采用便拆结构，拆卸转子组件无需拆除进出口管路，仅拆卸泵联体座螺母即可抽出全部转子部件，便于现场检修</w:t>
      </w:r>
      <w:r>
        <w:rPr>
          <w:rFonts w:hint="default" w:ascii="仿宋_GB2312" w:hAnsi="宋体" w:eastAsia="仿宋_GB2312" w:cs="宋体"/>
          <w:kern w:val="0"/>
          <w:sz w:val="28"/>
          <w:szCs w:val="28"/>
          <w:lang w:val="en-US" w:eastAsia="zh-CN" w:bidi="ar-SA"/>
        </w:rPr>
        <w:t>。</w:t>
      </w:r>
    </w:p>
    <w:p w14:paraId="3451C134">
      <w:pPr>
        <w:pStyle w:val="4"/>
        <w:ind w:left="0" w:leftChars="0"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14、控制柜、电机、多级离心泵的标志、标牌应齐全，表</w:t>
      </w:r>
      <w:r>
        <w:rPr>
          <w:rFonts w:hint="eastAsia" w:ascii="仿宋_GB2312" w:hAnsi="宋体" w:eastAsia="仿宋_GB2312" w:cs="宋体"/>
          <w:sz w:val="28"/>
          <w:szCs w:val="28"/>
          <w:lang w:val="en-US" w:eastAsia="zh-CN"/>
        </w:rPr>
        <w:t>面油漆应干燥完整，无污损、碰伤和裂痕现象。标牌上的数据刻画方法应使</w:t>
      </w:r>
      <w:r>
        <w:rPr>
          <w:rFonts w:hint="eastAsia" w:ascii="仿宋_GB2312" w:hAnsi="宋体" w:eastAsia="仿宋_GB2312" w:cs="宋体"/>
          <w:kern w:val="0"/>
          <w:sz w:val="28"/>
          <w:szCs w:val="28"/>
          <w:lang w:val="en-US" w:eastAsia="zh-CN" w:bidi="ar-SA"/>
        </w:rPr>
        <w:t>其字迹清晰端正，在整个使用期内不被磨灭。</w:t>
      </w:r>
    </w:p>
    <w:p w14:paraId="7DD1B604">
      <w:pPr>
        <w:pStyle w:val="4"/>
        <w:ind w:left="0" w:leftChars="0"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15、电动机两端设不停机注排油装置，可在不停机的情况下加注或排放润滑油。电机应为油脂润滑，最小的润滑周期为2500小时。</w:t>
      </w:r>
    </w:p>
    <w:p w14:paraId="3E89F25B">
      <w:pPr>
        <w:pStyle w:val="4"/>
        <w:ind w:left="0" w:leftChars="0"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16、电机的运行方式应为符合GB/T 755-2025《旋转电机 定额与性能》规定要求。</w:t>
      </w:r>
    </w:p>
    <w:p w14:paraId="598DFA42">
      <w:pPr>
        <w:pStyle w:val="4"/>
        <w:ind w:left="0" w:leftChars="0"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17、额定负载下，电机的功率因数、效率、起动电流、起动转矩及最大转矩等参数应符合标准要求。</w:t>
      </w:r>
    </w:p>
    <w:p w14:paraId="7306385C">
      <w:pPr>
        <w:pStyle w:val="4"/>
        <w:ind w:left="0" w:leftChars="0"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18、出卖人投标时应提供齐全的配件明细及供货价格，合同签订时一并签订配件价格。</w:t>
      </w:r>
    </w:p>
    <w:p w14:paraId="7D9E383A">
      <w:pPr>
        <w:pStyle w:val="4"/>
        <w:ind w:left="0" w:leftChars="0" w:firstLine="560" w:firstLineChars="200"/>
        <w:rPr>
          <w:rFonts w:hint="default"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19、设备性能优于以上要求的，视为符合规定。</w:t>
      </w:r>
    </w:p>
    <w:p w14:paraId="788E8F98">
      <w:pPr>
        <w:adjustRightInd w:val="0"/>
        <w:snapToGrid w:val="0"/>
        <w:spacing w:line="520" w:lineRule="exact"/>
        <w:ind w:firstLine="551" w:firstLineChars="196"/>
        <w:rPr>
          <w:rFonts w:hint="eastAsia" w:ascii="仿宋_GB2312" w:hAnsi="宋体" w:eastAsia="仿宋_GB2312"/>
          <w:b/>
          <w:bCs/>
          <w:sz w:val="28"/>
          <w:szCs w:val="28"/>
        </w:rPr>
      </w:pPr>
      <w:r>
        <w:rPr>
          <w:rFonts w:hint="eastAsia" w:ascii="仿宋_GB2312" w:hAnsi="宋体" w:eastAsia="仿宋_GB2312"/>
          <w:b/>
          <w:bCs/>
          <w:sz w:val="28"/>
          <w:szCs w:val="28"/>
          <w:lang w:eastAsia="zh-CN"/>
        </w:rPr>
        <w:t>七、</w:t>
      </w:r>
      <w:bookmarkStart w:id="6" w:name="质量及验收要求"/>
      <w:r>
        <w:rPr>
          <w:rFonts w:hint="eastAsia" w:ascii="仿宋_GB2312" w:hAnsi="宋体" w:eastAsia="仿宋_GB2312"/>
          <w:b/>
          <w:bCs/>
          <w:sz w:val="28"/>
          <w:szCs w:val="28"/>
        </w:rPr>
        <w:t>质量及验收要求</w:t>
      </w:r>
      <w:bookmarkEnd w:id="6"/>
    </w:p>
    <w:p w14:paraId="7B59E7FB">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出卖人应保证所供货物及其材料完全符合国家现行有关质量标准和合同规定的质量、规格和性能的要求。出卖人应保证其货物在正确安装、正常使用和保养条件下，在其使用寿命期内应具有满意的性能。在质量保证期内，出卖人应对由于设计、工艺或材料的缺陷而发生的任何不足和故障负责，费用由出卖人负责。</w:t>
      </w:r>
    </w:p>
    <w:p w14:paraId="76FBCC8E">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2、根据产品使用人当地有关部门检验结果或者在安装、运行及质量保证期内，如果货物的数量、质量或规格与技术要求不符合或证实货物有缺陷的，包括潜在的缺陷或使用不符合要求的材料等，买受人可以书面形式向出卖人提出索赔。</w:t>
      </w:r>
    </w:p>
    <w:p w14:paraId="50DF869B">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3、出卖人在收到产品使用人通知后5日内应免费维修或更换有缺陷的货物或部件。</w:t>
      </w:r>
    </w:p>
    <w:p w14:paraId="6BE4A898">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4、如果出卖人在收到产品使用人通知后15日内没有弥补缺陷，买受人可采取必要的补救措施，但其风险和费用由出卖人承担。</w:t>
      </w:r>
    </w:p>
    <w:p w14:paraId="41F76B64">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5、产品到矿后，出卖人与矿方人员共同按技术协议要求的质量标准验收，存在的质量问题由出卖人负责解决。</w:t>
      </w:r>
    </w:p>
    <w:p w14:paraId="685042D0">
      <w:pPr>
        <w:adjustRightInd w:val="0"/>
        <w:snapToGrid w:val="0"/>
        <w:spacing w:line="520" w:lineRule="exact"/>
        <w:rPr>
          <w:rFonts w:hint="eastAsia" w:ascii="仿宋_GB2312" w:hAnsi="宋体" w:eastAsia="仿宋_GB2312"/>
          <w:sz w:val="28"/>
          <w:szCs w:val="28"/>
        </w:rPr>
      </w:pPr>
      <w:r>
        <w:rPr>
          <w:rFonts w:hint="eastAsia" w:ascii="仿宋_GB2312" w:hAnsi="宋体" w:eastAsia="仿宋_GB2312"/>
          <w:sz w:val="28"/>
          <w:szCs w:val="28"/>
        </w:rPr>
        <w:t xml:space="preserve">    </w:t>
      </w:r>
      <w:r>
        <w:rPr>
          <w:rFonts w:hint="eastAsia" w:ascii="仿宋_GB2312" w:hAnsi="宋体" w:eastAsia="仿宋_GB2312"/>
          <w:b/>
          <w:bCs/>
          <w:sz w:val="28"/>
          <w:szCs w:val="28"/>
          <w:lang w:eastAsia="zh-CN"/>
        </w:rPr>
        <w:t>八、</w:t>
      </w:r>
      <w:bookmarkStart w:id="7" w:name="安装、调试要求"/>
      <w:r>
        <w:rPr>
          <w:rFonts w:hint="eastAsia" w:ascii="仿宋_GB2312" w:hAnsi="宋体" w:eastAsia="仿宋_GB2312"/>
          <w:b/>
          <w:bCs/>
          <w:sz w:val="28"/>
          <w:szCs w:val="28"/>
        </w:rPr>
        <w:t>安装、调试要求</w:t>
      </w:r>
      <w:bookmarkEnd w:id="7"/>
    </w:p>
    <w:p w14:paraId="130FF7AE">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1、出卖人无偿对设备进行指导安装，检验和调试，直到完全符合技术要求为止。</w:t>
      </w:r>
    </w:p>
    <w:p w14:paraId="3EDEDAC4">
      <w:pPr>
        <w:spacing w:line="480" w:lineRule="auto"/>
        <w:ind w:firstLine="560" w:firstLineChars="200"/>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2、现场设备具备安装调试条件后，使用人提前3天通知出卖人，出卖人接到通知2个工作日内派人赴现场免费技术指导安装调试，负责解决安装调试过程中出现的问题。</w:t>
      </w:r>
    </w:p>
    <w:p w14:paraId="73AEB44B">
      <w:pPr>
        <w:adjustRightInd w:val="0"/>
        <w:snapToGrid w:val="0"/>
        <w:spacing w:line="520" w:lineRule="exact"/>
        <w:rPr>
          <w:rFonts w:hint="eastAsia" w:ascii="仿宋_GB2312" w:hAnsi="宋体" w:eastAsia="仿宋_GB2312"/>
          <w:b/>
          <w:bCs/>
          <w:sz w:val="28"/>
          <w:szCs w:val="28"/>
        </w:rPr>
      </w:pPr>
      <w:r>
        <w:rPr>
          <w:rFonts w:hint="eastAsia" w:ascii="仿宋_GB2312" w:hAnsi="宋体" w:eastAsia="仿宋_GB2312"/>
          <w:sz w:val="28"/>
          <w:szCs w:val="28"/>
        </w:rPr>
        <w:t xml:space="preserve">    </w:t>
      </w:r>
      <w:r>
        <w:rPr>
          <w:rFonts w:hint="eastAsia" w:ascii="仿宋_GB2312" w:hAnsi="宋体" w:eastAsia="仿宋_GB2312"/>
          <w:b/>
          <w:bCs/>
          <w:sz w:val="28"/>
          <w:szCs w:val="28"/>
          <w:lang w:eastAsia="zh-CN"/>
        </w:rPr>
        <w:t>九、</w:t>
      </w:r>
      <w:bookmarkStart w:id="8" w:name="服务及质保要求"/>
      <w:r>
        <w:rPr>
          <w:rFonts w:hint="eastAsia" w:ascii="仿宋_GB2312" w:hAnsi="宋体" w:eastAsia="仿宋_GB2312"/>
          <w:b/>
          <w:bCs/>
          <w:sz w:val="28"/>
          <w:szCs w:val="28"/>
        </w:rPr>
        <w:t>服务及质保要求</w:t>
      </w:r>
      <w:bookmarkEnd w:id="8"/>
    </w:p>
    <w:p w14:paraId="60CE68C6">
      <w:pPr>
        <w:spacing w:line="480" w:lineRule="auto"/>
        <w:ind w:firstLine="560" w:firstLineChars="200"/>
        <w:rPr>
          <w:rFonts w:hint="default" w:ascii="仿宋_GB2312" w:hAnsi="宋体" w:eastAsia="仿宋_GB2312"/>
          <w:sz w:val="28"/>
          <w:szCs w:val="28"/>
          <w:lang w:val="en-US" w:eastAsia="zh-CN"/>
        </w:rPr>
      </w:pPr>
      <w:r>
        <w:rPr>
          <w:rFonts w:hint="default" w:ascii="仿宋_GB2312" w:hAnsi="宋体" w:eastAsia="仿宋_GB2312"/>
          <w:sz w:val="28"/>
          <w:szCs w:val="28"/>
          <w:lang w:val="en-US" w:eastAsia="zh-CN"/>
        </w:rPr>
        <w:t>1、</w:t>
      </w:r>
      <w:r>
        <w:rPr>
          <w:rFonts w:hint="eastAsia" w:ascii="仿宋_GB2312" w:hAnsi="宋体" w:eastAsia="仿宋_GB2312"/>
          <w:sz w:val="28"/>
          <w:szCs w:val="28"/>
          <w:lang w:val="en-US" w:eastAsia="zh-CN"/>
        </w:rPr>
        <w:t>售后服务：出卖人免费提供现场安装调试指导，免费提供矿方相关人员的维护保养的培训。</w:t>
      </w:r>
      <w:r>
        <w:rPr>
          <w:rFonts w:hint="default" w:ascii="仿宋_GB2312" w:hAnsi="宋体" w:eastAsia="仿宋_GB2312"/>
          <w:sz w:val="28"/>
          <w:szCs w:val="28"/>
          <w:lang w:val="en-US" w:eastAsia="zh-CN"/>
        </w:rPr>
        <w:t>接到产品故障信息后出卖人必须在2小时内</w:t>
      </w:r>
      <w:r>
        <w:rPr>
          <w:rFonts w:hint="eastAsia" w:ascii="仿宋_GB2312" w:hAnsi="宋体" w:eastAsia="仿宋_GB2312"/>
          <w:sz w:val="28"/>
          <w:szCs w:val="28"/>
          <w:lang w:val="en-US" w:eastAsia="zh-CN"/>
        </w:rPr>
        <w:t>作出</w:t>
      </w:r>
      <w:r>
        <w:rPr>
          <w:rFonts w:hint="default" w:ascii="仿宋_GB2312" w:hAnsi="宋体" w:eastAsia="仿宋_GB2312"/>
          <w:sz w:val="28"/>
          <w:szCs w:val="28"/>
          <w:lang w:val="en-US" w:eastAsia="zh-CN"/>
        </w:rPr>
        <w:t>答复，</w:t>
      </w:r>
      <w:r>
        <w:rPr>
          <w:rFonts w:hint="eastAsia" w:ascii="仿宋_GB2312" w:hAnsi="宋体" w:eastAsia="仿宋_GB2312"/>
          <w:sz w:val="28"/>
          <w:szCs w:val="28"/>
          <w:lang w:val="en-US" w:eastAsia="zh-CN"/>
        </w:rPr>
        <w:t>保证在24小时内赶到现场进行管道增压泵使用的指导、维护、检查。</w:t>
      </w:r>
    </w:p>
    <w:p w14:paraId="0B313D2D">
      <w:pPr>
        <w:spacing w:line="480" w:lineRule="auto"/>
        <w:ind w:firstLine="560" w:firstLineChars="200"/>
        <w:rPr>
          <w:rFonts w:hint="default" w:ascii="仿宋_GB2312" w:hAnsi="宋体" w:eastAsia="仿宋_GB2312"/>
          <w:sz w:val="28"/>
          <w:szCs w:val="28"/>
          <w:lang w:val="en-US" w:eastAsia="zh-CN"/>
        </w:rPr>
      </w:pPr>
      <w:r>
        <w:rPr>
          <w:rFonts w:hint="default" w:ascii="仿宋_GB2312" w:hAnsi="宋体" w:eastAsia="仿宋_GB2312"/>
          <w:sz w:val="28"/>
          <w:szCs w:val="28"/>
          <w:lang w:val="en-US" w:eastAsia="zh-CN"/>
        </w:rPr>
        <w:t>2、整机质</w:t>
      </w:r>
      <w:r>
        <w:rPr>
          <w:rFonts w:hint="eastAsia" w:ascii="仿宋_GB2312" w:hAnsi="宋体" w:eastAsia="仿宋_GB2312"/>
          <w:sz w:val="28"/>
          <w:szCs w:val="28"/>
          <w:lang w:val="en-US" w:eastAsia="zh-CN"/>
        </w:rPr>
        <w:t>保期为</w:t>
      </w:r>
      <w:r>
        <w:rPr>
          <w:rFonts w:hint="default" w:ascii="仿宋_GB2312" w:hAnsi="宋体" w:eastAsia="仿宋_GB2312"/>
          <w:sz w:val="28"/>
          <w:szCs w:val="28"/>
          <w:lang w:val="en-US" w:eastAsia="zh-CN"/>
        </w:rPr>
        <w:t>产品验收合格后18个月或安装调试运行之日起12个月</w:t>
      </w:r>
      <w:r>
        <w:rPr>
          <w:rFonts w:hint="eastAsia" w:ascii="仿宋_GB2312" w:hAnsi="宋体" w:eastAsia="仿宋_GB2312"/>
          <w:sz w:val="28"/>
          <w:szCs w:val="28"/>
          <w:lang w:val="en-US" w:eastAsia="zh-CN"/>
        </w:rPr>
        <w:t>，以先到者为准</w:t>
      </w:r>
      <w:r>
        <w:rPr>
          <w:rFonts w:hint="default" w:ascii="仿宋_GB2312" w:hAnsi="宋体" w:eastAsia="仿宋_GB2312"/>
          <w:sz w:val="28"/>
          <w:szCs w:val="28"/>
          <w:lang w:val="en-US" w:eastAsia="zh-CN"/>
        </w:rPr>
        <w:t>。质保期内如果出现问题，</w:t>
      </w:r>
      <w:r>
        <w:rPr>
          <w:rFonts w:hint="eastAsia" w:ascii="仿宋_GB2312" w:hAnsi="宋体" w:eastAsia="仿宋_GB2312"/>
          <w:sz w:val="28"/>
          <w:szCs w:val="28"/>
          <w:lang w:val="en-US" w:eastAsia="zh-CN"/>
        </w:rPr>
        <w:t>非使用管理不当造成或</w:t>
      </w:r>
      <w:r>
        <w:rPr>
          <w:rFonts w:hint="default" w:ascii="仿宋_GB2312" w:hAnsi="宋体" w:eastAsia="仿宋_GB2312"/>
          <w:sz w:val="28"/>
          <w:szCs w:val="28"/>
          <w:lang w:val="en-US" w:eastAsia="zh-CN"/>
        </w:rPr>
        <w:t>经双方鉴定</w:t>
      </w:r>
      <w:r>
        <w:rPr>
          <w:rFonts w:hint="eastAsia" w:ascii="仿宋_GB2312" w:hAnsi="宋体" w:eastAsia="仿宋_GB2312"/>
          <w:sz w:val="28"/>
          <w:szCs w:val="28"/>
          <w:lang w:val="en-US" w:eastAsia="zh-CN"/>
        </w:rPr>
        <w:t>属于</w:t>
      </w:r>
      <w:r>
        <w:rPr>
          <w:rFonts w:hint="default" w:ascii="仿宋_GB2312" w:hAnsi="宋体" w:eastAsia="仿宋_GB2312"/>
          <w:sz w:val="28"/>
          <w:szCs w:val="28"/>
          <w:lang w:val="en-US" w:eastAsia="zh-CN"/>
        </w:rPr>
        <w:t>产品质量问题由</w:t>
      </w:r>
      <w:r>
        <w:rPr>
          <w:rFonts w:hint="eastAsia" w:ascii="仿宋_GB2312" w:hAnsi="宋体" w:eastAsia="仿宋_GB2312"/>
          <w:sz w:val="28"/>
          <w:szCs w:val="28"/>
          <w:lang w:val="en-US" w:eastAsia="zh-CN"/>
        </w:rPr>
        <w:t>出卖人</w:t>
      </w:r>
      <w:r>
        <w:rPr>
          <w:rFonts w:hint="default" w:ascii="仿宋_GB2312" w:hAnsi="宋体" w:eastAsia="仿宋_GB2312"/>
          <w:sz w:val="28"/>
          <w:szCs w:val="28"/>
          <w:lang w:val="en-US" w:eastAsia="zh-CN"/>
        </w:rPr>
        <w:t>无偿更换或修理。</w:t>
      </w:r>
    </w:p>
    <w:p w14:paraId="668C9739">
      <w:pPr>
        <w:adjustRightInd w:val="0"/>
        <w:snapToGrid w:val="0"/>
        <w:spacing w:line="520" w:lineRule="exact"/>
        <w:rPr>
          <w:rFonts w:hint="eastAsia" w:ascii="仿宋_GB2312" w:hAnsi="宋体" w:eastAsia="仿宋_GB2312"/>
          <w:sz w:val="28"/>
          <w:szCs w:val="28"/>
        </w:rPr>
      </w:pPr>
      <w:r>
        <w:rPr>
          <w:rFonts w:hint="eastAsia" w:ascii="仿宋_GB2312" w:hAnsi="宋体" w:eastAsia="仿宋_GB2312"/>
          <w:sz w:val="28"/>
          <w:szCs w:val="28"/>
        </w:rPr>
        <w:t xml:space="preserve">    </w:t>
      </w:r>
      <w:r>
        <w:rPr>
          <w:rFonts w:hint="eastAsia" w:ascii="仿宋_GB2312" w:hAnsi="宋体" w:eastAsia="仿宋_GB2312"/>
          <w:b/>
          <w:bCs/>
          <w:sz w:val="28"/>
          <w:szCs w:val="28"/>
          <w:lang w:eastAsia="zh-CN"/>
        </w:rPr>
        <w:t>十、</w:t>
      </w:r>
      <w:bookmarkStart w:id="9" w:name="运输及包装要求"/>
      <w:r>
        <w:rPr>
          <w:rFonts w:hint="eastAsia" w:ascii="仿宋_GB2312" w:hAnsi="宋体" w:eastAsia="仿宋_GB2312"/>
          <w:b/>
          <w:bCs/>
          <w:sz w:val="28"/>
          <w:szCs w:val="28"/>
        </w:rPr>
        <w:t>运输及包装要求</w:t>
      </w:r>
      <w:bookmarkEnd w:id="9"/>
    </w:p>
    <w:p w14:paraId="53599E4D">
      <w:pPr>
        <w:pStyle w:val="4"/>
        <w:numPr>
          <w:ilvl w:val="0"/>
          <w:numId w:val="0"/>
        </w:numPr>
        <w:ind w:firstLine="560" w:firstLineChars="200"/>
        <w:rPr>
          <w:rFonts w:hint="default"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1、产品的包装应符合GB/T13384的规定，保证被包装的产品和文件在运输和保管的过程中不致造成遗失和损坏。</w:t>
      </w:r>
    </w:p>
    <w:p w14:paraId="5B0EE18E">
      <w:pPr>
        <w:pStyle w:val="4"/>
        <w:numPr>
          <w:ilvl w:val="0"/>
          <w:numId w:val="0"/>
        </w:numPr>
        <w:ind w:firstLine="560" w:firstLineChars="200"/>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2、产品在运输过程中，应采取措施防止震动和碰撞损坏设备。</w:t>
      </w:r>
    </w:p>
    <w:p w14:paraId="7179B503">
      <w:pPr>
        <w:pStyle w:val="4"/>
        <w:numPr>
          <w:ilvl w:val="0"/>
          <w:numId w:val="0"/>
        </w:numPr>
        <w:ind w:firstLine="560" w:firstLineChars="200"/>
        <w:rPr>
          <w:rFonts w:hint="default"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3</w:t>
      </w:r>
      <w:r>
        <w:rPr>
          <w:rFonts w:hint="default" w:ascii="仿宋_GB2312" w:hAnsi="宋体" w:eastAsia="仿宋_GB2312" w:cs="宋体"/>
          <w:sz w:val="28"/>
          <w:szCs w:val="28"/>
          <w:lang w:val="en-US" w:eastAsia="zh-CN"/>
        </w:rPr>
        <w:t>、产品出厂时应在明显部位固定标牌，内容包括：产品名称、型号、主要技术参数、制造厂家名称、出厂日期等。</w:t>
      </w:r>
    </w:p>
    <w:p w14:paraId="24544210">
      <w:pPr>
        <w:pStyle w:val="4"/>
        <w:numPr>
          <w:ilvl w:val="0"/>
          <w:numId w:val="0"/>
        </w:numPr>
        <w:ind w:firstLine="560" w:firstLineChars="200"/>
        <w:rPr>
          <w:rFonts w:hint="default"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4</w:t>
      </w:r>
      <w:r>
        <w:rPr>
          <w:rFonts w:hint="default" w:ascii="仿宋_GB2312" w:hAnsi="宋体" w:eastAsia="仿宋_GB2312" w:cs="宋体"/>
          <w:sz w:val="28"/>
          <w:szCs w:val="28"/>
          <w:lang w:val="en-US" w:eastAsia="zh-CN"/>
        </w:rPr>
        <w:t>、产品检验合格后所有部件外露口均应使用标准挡板或堵头进行封堵，防止进入杂物。</w:t>
      </w:r>
    </w:p>
    <w:p w14:paraId="7ECBEDF1">
      <w:pPr>
        <w:pStyle w:val="4"/>
        <w:numPr>
          <w:ilvl w:val="0"/>
          <w:numId w:val="0"/>
        </w:numPr>
        <w:ind w:firstLine="560" w:firstLineChars="200"/>
        <w:rPr>
          <w:rFonts w:hint="default"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5</w:t>
      </w:r>
      <w:r>
        <w:rPr>
          <w:rFonts w:hint="default" w:ascii="仿宋_GB2312" w:hAnsi="宋体" w:eastAsia="仿宋_GB2312" w:cs="宋体"/>
          <w:sz w:val="28"/>
          <w:szCs w:val="28"/>
          <w:lang w:val="en-US" w:eastAsia="zh-CN"/>
        </w:rPr>
        <w:t>、包装应具有防潮能力，结实可靠，防止损坏、变形以及面漆擦伤。</w:t>
      </w:r>
    </w:p>
    <w:p w14:paraId="3C29D108">
      <w:pPr>
        <w:pStyle w:val="4"/>
        <w:numPr>
          <w:ilvl w:val="0"/>
          <w:numId w:val="0"/>
        </w:numPr>
        <w:ind w:firstLine="560" w:firstLineChars="200"/>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6</w:t>
      </w:r>
      <w:r>
        <w:rPr>
          <w:rFonts w:hint="default" w:ascii="仿宋_GB2312" w:hAnsi="宋体" w:eastAsia="仿宋_GB2312" w:cs="宋体"/>
          <w:sz w:val="28"/>
          <w:szCs w:val="28"/>
          <w:lang w:val="en-US" w:eastAsia="zh-CN"/>
        </w:rPr>
        <w:t>、随机文件用塑料袋封好装入箱中，并在箱外注明“文件在此”字样。</w:t>
      </w:r>
    </w:p>
    <w:p w14:paraId="365118A6">
      <w:pPr>
        <w:pStyle w:val="4"/>
        <w:numPr>
          <w:ilvl w:val="0"/>
          <w:numId w:val="0"/>
        </w:numPr>
        <w:ind w:firstLine="560" w:firstLineChars="200"/>
        <w:rPr>
          <w:rFonts w:hint="default"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7、产品由供货商免费运送至矿指定地点。</w:t>
      </w:r>
    </w:p>
    <w:p w14:paraId="5F318A0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2" w:firstLineChars="200"/>
        <w:textAlignment w:val="auto"/>
        <w:rPr>
          <w:rFonts w:hint="eastAsia" w:ascii="仿宋_GB2312" w:hAnsi="宋体" w:eastAsia="仿宋_GB2312" w:cs="Times New Roman"/>
          <w:b/>
          <w:bCs/>
          <w:sz w:val="28"/>
          <w:szCs w:val="28"/>
          <w:lang w:val="en-US" w:eastAsia="zh-CN"/>
        </w:rPr>
      </w:pPr>
      <w:r>
        <w:rPr>
          <w:rFonts w:hint="eastAsia" w:ascii="仿宋_GB2312" w:hAnsi="宋体" w:eastAsia="仿宋_GB2312" w:cs="Times New Roman"/>
          <w:b/>
          <w:bCs/>
          <w:sz w:val="28"/>
          <w:szCs w:val="28"/>
          <w:lang w:val="en-US" w:eastAsia="zh-CN"/>
        </w:rPr>
        <w:t>十一、</w:t>
      </w:r>
      <w:bookmarkStart w:id="10" w:name="技术资料要求"/>
      <w:r>
        <w:rPr>
          <w:rFonts w:hint="eastAsia" w:ascii="仿宋_GB2312" w:hAnsi="宋体" w:eastAsia="仿宋_GB2312" w:cs="Times New Roman"/>
          <w:b/>
          <w:bCs/>
          <w:sz w:val="28"/>
          <w:szCs w:val="28"/>
          <w:lang w:val="en-US" w:eastAsia="zh-CN"/>
        </w:rPr>
        <w:t>技术资料要求</w:t>
      </w:r>
      <w:bookmarkEnd w:id="10"/>
    </w:p>
    <w:p w14:paraId="23AA2331">
      <w:pPr>
        <w:pStyle w:val="4"/>
        <w:numPr>
          <w:ilvl w:val="0"/>
          <w:numId w:val="0"/>
        </w:numPr>
        <w:ind w:firstLine="560" w:firstLineChars="200"/>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供货时应提供</w:t>
      </w:r>
      <w:r>
        <w:rPr>
          <w:rFonts w:hint="default" w:ascii="仿宋_GB2312" w:hAnsi="宋体" w:eastAsia="仿宋_GB2312" w:cs="宋体"/>
          <w:sz w:val="28"/>
          <w:szCs w:val="28"/>
          <w:lang w:val="en-US" w:eastAsia="zh-CN"/>
        </w:rPr>
        <w:t>配货清单</w:t>
      </w:r>
      <w:r>
        <w:rPr>
          <w:rFonts w:hint="eastAsia" w:ascii="仿宋_GB2312" w:hAnsi="宋体" w:eastAsia="仿宋_GB2312" w:cs="宋体"/>
          <w:sz w:val="28"/>
          <w:szCs w:val="28"/>
          <w:lang w:val="en-US" w:eastAsia="zh-CN"/>
        </w:rPr>
        <w:t>、产品质量检验合格证，煤安标志证书，防爆合格证、产品使用说明书、检验报告、电缆阻燃及抗静电性能第三方检测报告（若不含电缆，则不用提供）各2份。</w:t>
      </w:r>
    </w:p>
    <w:p w14:paraId="3618AB1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2" w:firstLineChars="200"/>
        <w:textAlignment w:val="auto"/>
        <w:rPr>
          <w:rFonts w:hint="eastAsia" w:ascii="仿宋_GB2312" w:hAnsi="宋体" w:eastAsia="仿宋_GB2312" w:cs="Times New Roman"/>
          <w:b/>
          <w:bCs/>
          <w:sz w:val="28"/>
          <w:szCs w:val="28"/>
          <w:lang w:val="en-US" w:eastAsia="zh-CN"/>
        </w:rPr>
      </w:pPr>
      <w:r>
        <w:rPr>
          <w:rFonts w:hint="eastAsia" w:ascii="仿宋_GB2312" w:hAnsi="宋体" w:eastAsia="仿宋_GB2312" w:cs="Times New Roman"/>
          <w:b/>
          <w:bCs/>
          <w:sz w:val="28"/>
          <w:szCs w:val="28"/>
          <w:lang w:val="en-US" w:eastAsia="zh-CN"/>
        </w:rPr>
        <w:t>十二、</w:t>
      </w:r>
      <w:bookmarkStart w:id="11" w:name="到货地点及交货时间"/>
      <w:r>
        <w:rPr>
          <w:rFonts w:hint="eastAsia" w:ascii="仿宋_GB2312" w:hAnsi="宋体" w:eastAsia="仿宋_GB2312" w:cs="Times New Roman"/>
          <w:b/>
          <w:bCs/>
          <w:sz w:val="28"/>
          <w:szCs w:val="28"/>
          <w:lang w:val="en-US" w:eastAsia="zh-CN"/>
        </w:rPr>
        <w:t>到货地点及交货时间</w:t>
      </w:r>
      <w:bookmarkEnd w:id="11"/>
    </w:p>
    <w:p w14:paraId="281B4C84">
      <w:pPr>
        <w:pStyle w:val="4"/>
        <w:numPr>
          <w:ilvl w:val="0"/>
          <w:numId w:val="0"/>
        </w:numPr>
        <w:ind w:firstLine="560" w:firstLineChars="200"/>
        <w:rPr>
          <w:rFonts w:hint="eastAsia" w:ascii="仿宋_GB2312" w:hAnsi="宋体" w:eastAsia="仿宋_GB2312" w:cs="宋体"/>
          <w:sz w:val="28"/>
          <w:szCs w:val="28"/>
          <w:lang w:val="en-US" w:eastAsia="zh-CN"/>
        </w:rPr>
      </w:pPr>
      <w:r>
        <w:rPr>
          <w:rFonts w:hint="eastAsia" w:ascii="仿宋_GB2312" w:hAnsi="宋体" w:eastAsia="仿宋_GB2312" w:cs="宋体"/>
          <w:sz w:val="28"/>
          <w:szCs w:val="28"/>
          <w:lang w:val="en-US" w:eastAsia="zh-CN"/>
        </w:rPr>
        <w:t>1、交货地点：永煤集团股份有限公司顺和煤矿。</w:t>
      </w:r>
    </w:p>
    <w:p w14:paraId="7681E223">
      <w:pPr>
        <w:pStyle w:val="4"/>
        <w:numPr>
          <w:ilvl w:val="0"/>
          <w:numId w:val="0"/>
        </w:numPr>
        <w:ind w:firstLine="560" w:firstLineChars="200"/>
        <w:rPr>
          <w:rFonts w:hint="eastAsia" w:hAnsi="Times New Roman"/>
          <w:color w:val="000000"/>
          <w:sz w:val="28"/>
        </w:rPr>
      </w:pPr>
      <w:r>
        <w:rPr>
          <w:rFonts w:hint="eastAsia" w:ascii="仿宋_GB2312" w:hAnsi="宋体" w:eastAsia="仿宋_GB2312" w:cs="宋体"/>
          <w:sz w:val="28"/>
          <w:szCs w:val="28"/>
          <w:lang w:val="en-US" w:eastAsia="zh-CN"/>
        </w:rPr>
        <w:t>2、交货时间：签订合同后15个工作日内</w:t>
      </w:r>
      <w:r>
        <w:rPr>
          <w:rFonts w:hint="eastAsia" w:hAnsi="Times New Roman"/>
          <w:color w:val="000000"/>
          <w:sz w:val="28"/>
        </w:rPr>
        <w:t>。</w:t>
      </w:r>
    </w:p>
    <w:p w14:paraId="01B2000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2" w:firstLineChars="200"/>
        <w:textAlignment w:val="auto"/>
        <w:rPr>
          <w:rFonts w:hint="eastAsia" w:ascii="仿宋_GB2312" w:hAnsi="宋体" w:eastAsia="仿宋_GB2312" w:cs="Times New Roman"/>
          <w:b/>
          <w:bCs/>
          <w:sz w:val="28"/>
          <w:szCs w:val="28"/>
          <w:lang w:val="en-US" w:eastAsia="zh-CN"/>
        </w:rPr>
      </w:pPr>
      <w:r>
        <w:rPr>
          <w:rFonts w:hint="eastAsia" w:ascii="仿宋_GB2312" w:hAnsi="宋体" w:eastAsia="仿宋_GB2312" w:cs="Times New Roman"/>
          <w:b/>
          <w:bCs/>
          <w:sz w:val="28"/>
          <w:szCs w:val="28"/>
          <w:lang w:val="en-US" w:eastAsia="zh-CN"/>
        </w:rPr>
        <w:t>十三、其他</w:t>
      </w:r>
    </w:p>
    <w:p w14:paraId="79C80402">
      <w:pPr>
        <w:pStyle w:val="5"/>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1、本标段允许代理商参加，投标时提供代理授权书。</w:t>
      </w:r>
    </w:p>
    <w:p w14:paraId="0A42ABF1">
      <w:pPr>
        <w:pStyle w:val="5"/>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default"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2、出卖人需提供合格产品，验收不合格，供应商需及时免费进行调换；使用方有权对不合格的产品进行退货，所产生的费用由出卖人承担。</w:t>
      </w:r>
    </w:p>
    <w:p w14:paraId="2B35A29C">
      <w:pPr>
        <w:spacing w:line="540" w:lineRule="exact"/>
        <w:ind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3、本技术规格书未尽事宜，由双方协商确定。</w:t>
      </w:r>
    </w:p>
    <w:p w14:paraId="7A7E682B">
      <w:pPr>
        <w:spacing w:line="540" w:lineRule="exact"/>
        <w:ind w:firstLine="560" w:firstLineChars="200"/>
        <w:rPr>
          <w:rFonts w:hint="eastAsia" w:ascii="仿宋_GB2312" w:hAnsi="宋体" w:eastAsia="仿宋_GB2312" w:cs="宋体"/>
          <w:kern w:val="0"/>
          <w:sz w:val="28"/>
          <w:szCs w:val="28"/>
          <w:lang w:val="en-US" w:eastAsia="zh-CN" w:bidi="ar-SA"/>
        </w:rPr>
      </w:pPr>
      <w:r>
        <w:rPr>
          <w:rFonts w:hint="eastAsia" w:ascii="仿宋_GB2312" w:hAnsi="宋体" w:eastAsia="仿宋_GB2312" w:cs="宋体"/>
          <w:kern w:val="0"/>
          <w:sz w:val="28"/>
          <w:szCs w:val="28"/>
          <w:lang w:val="en-US" w:eastAsia="zh-CN" w:bidi="ar-SA"/>
        </w:rPr>
        <w:t>4、联系人：龚臣  13409403456</w:t>
      </w:r>
    </w:p>
    <w:p w14:paraId="5E9E04E8">
      <w:pPr>
        <w:pStyle w:val="2"/>
        <w:rPr>
          <w:rFonts w:hint="eastAsia" w:ascii="仿宋_GB2312" w:hAnsi="宋体" w:eastAsia="仿宋_GB2312" w:cs="宋体"/>
          <w:kern w:val="0"/>
          <w:sz w:val="28"/>
          <w:szCs w:val="28"/>
          <w:lang w:val="en-US" w:eastAsia="zh-CN" w:bidi="ar-SA"/>
        </w:rPr>
      </w:pPr>
    </w:p>
    <w:p w14:paraId="17B35157">
      <w:pPr>
        <w:pStyle w:val="2"/>
        <w:rPr>
          <w:rFonts w:hint="eastAsia" w:ascii="仿宋_GB2312" w:hAnsi="宋体" w:eastAsia="仿宋_GB2312" w:cs="宋体"/>
          <w:kern w:val="0"/>
          <w:sz w:val="28"/>
          <w:szCs w:val="28"/>
          <w:lang w:val="en-US" w:eastAsia="zh-CN" w:bidi="ar-SA"/>
        </w:rPr>
      </w:pPr>
    </w:p>
    <w:p w14:paraId="7179C707">
      <w:pPr>
        <w:pStyle w:val="2"/>
        <w:rPr>
          <w:rFonts w:hint="eastAsia" w:ascii="仿宋_GB2312" w:hAnsi="宋体" w:eastAsia="仿宋_GB2312" w:cs="宋体"/>
          <w:kern w:val="0"/>
          <w:sz w:val="28"/>
          <w:szCs w:val="28"/>
          <w:lang w:val="en-US" w:eastAsia="zh-CN" w:bidi="ar-SA"/>
        </w:rPr>
      </w:pPr>
    </w:p>
    <w:p w14:paraId="43A5BDD5">
      <w:pPr>
        <w:pStyle w:val="2"/>
        <w:rPr>
          <w:rFonts w:hint="eastAsia" w:ascii="仿宋_GB2312" w:hAnsi="宋体" w:eastAsia="仿宋_GB2312" w:cs="宋体"/>
          <w:kern w:val="0"/>
          <w:sz w:val="28"/>
          <w:szCs w:val="28"/>
          <w:lang w:val="en-US" w:eastAsia="zh-CN" w:bidi="ar-SA"/>
        </w:rPr>
      </w:pPr>
    </w:p>
    <w:p w14:paraId="2D18E69B">
      <w:pPr>
        <w:pStyle w:val="2"/>
        <w:rPr>
          <w:rFonts w:hint="eastAsia" w:ascii="仿宋_GB2312" w:hAnsi="宋体" w:eastAsia="仿宋_GB2312" w:cs="宋体"/>
          <w:kern w:val="0"/>
          <w:sz w:val="28"/>
          <w:szCs w:val="28"/>
          <w:lang w:val="en-US" w:eastAsia="zh-CN" w:bidi="ar-SA"/>
        </w:rPr>
      </w:pPr>
    </w:p>
    <w:p w14:paraId="5854ED50">
      <w:pPr>
        <w:pStyle w:val="2"/>
        <w:rPr>
          <w:rFonts w:hint="eastAsia" w:ascii="仿宋_GB2312" w:hAnsi="宋体" w:eastAsia="仿宋_GB2312" w:cs="宋体"/>
          <w:kern w:val="0"/>
          <w:sz w:val="28"/>
          <w:szCs w:val="28"/>
          <w:lang w:val="en-US" w:eastAsia="zh-CN" w:bidi="ar-SA"/>
        </w:rPr>
      </w:pPr>
    </w:p>
    <w:p w14:paraId="203FF825">
      <w:pPr>
        <w:pStyle w:val="2"/>
        <w:rPr>
          <w:rFonts w:hint="eastAsia" w:ascii="仿宋_GB2312" w:hAnsi="宋体" w:eastAsia="仿宋_GB2312" w:cs="宋体"/>
          <w:kern w:val="0"/>
          <w:sz w:val="28"/>
          <w:szCs w:val="28"/>
          <w:lang w:val="en-US" w:eastAsia="zh-CN" w:bidi="ar-SA"/>
        </w:rPr>
      </w:pPr>
    </w:p>
    <w:p w14:paraId="2EF2F57F">
      <w:pPr>
        <w:pStyle w:val="2"/>
        <w:rPr>
          <w:rFonts w:hint="eastAsia" w:ascii="仿宋_GB2312" w:hAnsi="宋体" w:eastAsia="仿宋_GB2312" w:cs="宋体"/>
          <w:kern w:val="0"/>
          <w:sz w:val="28"/>
          <w:szCs w:val="28"/>
          <w:lang w:val="en-US" w:eastAsia="zh-CN" w:bidi="ar-SA"/>
        </w:rPr>
      </w:pPr>
    </w:p>
    <w:p w14:paraId="7806E381">
      <w:pPr>
        <w:pStyle w:val="2"/>
        <w:rPr>
          <w:rFonts w:hint="eastAsia" w:ascii="仿宋_GB2312" w:hAnsi="宋体" w:eastAsia="仿宋_GB2312" w:cs="宋体"/>
          <w:kern w:val="0"/>
          <w:sz w:val="28"/>
          <w:szCs w:val="28"/>
          <w:lang w:val="en-US" w:eastAsia="zh-CN" w:bidi="ar-SA"/>
        </w:rPr>
      </w:pPr>
    </w:p>
    <w:p w14:paraId="1D6D2F00">
      <w:pPr>
        <w:pStyle w:val="2"/>
        <w:rPr>
          <w:rFonts w:hint="eastAsia" w:ascii="仿宋_GB2312" w:hAnsi="宋体" w:eastAsia="仿宋_GB2312" w:cs="宋体"/>
          <w:kern w:val="0"/>
          <w:sz w:val="28"/>
          <w:szCs w:val="28"/>
          <w:lang w:val="en-US" w:eastAsia="zh-CN" w:bidi="ar-SA"/>
        </w:rPr>
      </w:pPr>
    </w:p>
    <w:p w14:paraId="15DD0EA7">
      <w:pPr>
        <w:pStyle w:val="2"/>
        <w:rPr>
          <w:rFonts w:hint="eastAsia" w:ascii="仿宋_GB2312" w:hAnsi="宋体" w:eastAsia="仿宋_GB2312" w:cs="宋体"/>
          <w:kern w:val="0"/>
          <w:sz w:val="28"/>
          <w:szCs w:val="28"/>
          <w:lang w:val="en-US" w:eastAsia="zh-CN" w:bidi="ar-SA"/>
        </w:rPr>
      </w:pPr>
    </w:p>
    <w:p w14:paraId="408C391D">
      <w:pPr>
        <w:pStyle w:val="4"/>
        <w:ind w:left="0" w:leftChars="0" w:firstLine="0" w:firstLineChars="0"/>
        <w:rPr>
          <w:rFonts w:hint="eastAsia"/>
          <w:sz w:val="18"/>
          <w:szCs w:val="18"/>
          <w:lang w:val="en-US" w:eastAsia="zh-CN"/>
        </w:rPr>
      </w:pPr>
      <w:bookmarkStart w:id="12" w:name="_GoBack"/>
      <w:bookmarkEnd w:id="12"/>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AB446">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CFDA6F">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4CFDA6F">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337263"/>
    <w:multiLevelType w:val="singleLevel"/>
    <w:tmpl w:val="6933726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MjY1NDlhNDBhNTFkZjRlYTYxOGM4ZjljZTk1OGEifQ=="/>
  </w:docVars>
  <w:rsids>
    <w:rsidRoot w:val="604E167B"/>
    <w:rsid w:val="003D68DF"/>
    <w:rsid w:val="00CC7D96"/>
    <w:rsid w:val="03AD3AF7"/>
    <w:rsid w:val="03EE2EC1"/>
    <w:rsid w:val="04381F92"/>
    <w:rsid w:val="04834485"/>
    <w:rsid w:val="04C00A37"/>
    <w:rsid w:val="05E15871"/>
    <w:rsid w:val="0610654C"/>
    <w:rsid w:val="0654524F"/>
    <w:rsid w:val="06572766"/>
    <w:rsid w:val="069A7960"/>
    <w:rsid w:val="06FA6168"/>
    <w:rsid w:val="087F7BA3"/>
    <w:rsid w:val="09CF031F"/>
    <w:rsid w:val="09FE3CED"/>
    <w:rsid w:val="0A177535"/>
    <w:rsid w:val="0AAC240E"/>
    <w:rsid w:val="0BC85764"/>
    <w:rsid w:val="0C076429"/>
    <w:rsid w:val="0C3152C1"/>
    <w:rsid w:val="0C6D2FD9"/>
    <w:rsid w:val="0D054E9E"/>
    <w:rsid w:val="0D091D9A"/>
    <w:rsid w:val="0D27558D"/>
    <w:rsid w:val="0DBB4545"/>
    <w:rsid w:val="0DD028B8"/>
    <w:rsid w:val="0E1F3B55"/>
    <w:rsid w:val="0E394083"/>
    <w:rsid w:val="0F1467D4"/>
    <w:rsid w:val="0F310A70"/>
    <w:rsid w:val="0FDE143F"/>
    <w:rsid w:val="109E73F2"/>
    <w:rsid w:val="11E82529"/>
    <w:rsid w:val="11FF551A"/>
    <w:rsid w:val="125C50FB"/>
    <w:rsid w:val="1302591A"/>
    <w:rsid w:val="13C04D1D"/>
    <w:rsid w:val="15282FD9"/>
    <w:rsid w:val="154A307A"/>
    <w:rsid w:val="16EF1D91"/>
    <w:rsid w:val="17764F54"/>
    <w:rsid w:val="18595F60"/>
    <w:rsid w:val="19257C20"/>
    <w:rsid w:val="19287A4C"/>
    <w:rsid w:val="19902894"/>
    <w:rsid w:val="1A0538E9"/>
    <w:rsid w:val="1A857534"/>
    <w:rsid w:val="1BF12FFF"/>
    <w:rsid w:val="1EC024D4"/>
    <w:rsid w:val="1FB05D82"/>
    <w:rsid w:val="206B3E88"/>
    <w:rsid w:val="20C30E4D"/>
    <w:rsid w:val="212C4EB5"/>
    <w:rsid w:val="215313DE"/>
    <w:rsid w:val="21DE514B"/>
    <w:rsid w:val="22016D57"/>
    <w:rsid w:val="2266110C"/>
    <w:rsid w:val="22C52727"/>
    <w:rsid w:val="249E5772"/>
    <w:rsid w:val="25E940BF"/>
    <w:rsid w:val="26867B60"/>
    <w:rsid w:val="27207F6C"/>
    <w:rsid w:val="274E11C3"/>
    <w:rsid w:val="27CF5D37"/>
    <w:rsid w:val="27EE3C0E"/>
    <w:rsid w:val="28EA52ED"/>
    <w:rsid w:val="29117B9D"/>
    <w:rsid w:val="29C4405B"/>
    <w:rsid w:val="29CD7DAE"/>
    <w:rsid w:val="2AAC280C"/>
    <w:rsid w:val="2C5A026B"/>
    <w:rsid w:val="2C6D475F"/>
    <w:rsid w:val="2C91021D"/>
    <w:rsid w:val="2CD16288"/>
    <w:rsid w:val="2E8C184D"/>
    <w:rsid w:val="2EAB0AAB"/>
    <w:rsid w:val="2EB0439F"/>
    <w:rsid w:val="2EF17594"/>
    <w:rsid w:val="2F6A21E9"/>
    <w:rsid w:val="308F7ADA"/>
    <w:rsid w:val="3135465C"/>
    <w:rsid w:val="3220530C"/>
    <w:rsid w:val="322F72FD"/>
    <w:rsid w:val="33A23374"/>
    <w:rsid w:val="33AB7829"/>
    <w:rsid w:val="33C817B8"/>
    <w:rsid w:val="34B2781E"/>
    <w:rsid w:val="35AF785F"/>
    <w:rsid w:val="35B21D80"/>
    <w:rsid w:val="36B65C9D"/>
    <w:rsid w:val="370F46AE"/>
    <w:rsid w:val="37F34577"/>
    <w:rsid w:val="38223A5B"/>
    <w:rsid w:val="382821B2"/>
    <w:rsid w:val="38B4055C"/>
    <w:rsid w:val="38B60B9C"/>
    <w:rsid w:val="3920255E"/>
    <w:rsid w:val="39A120BA"/>
    <w:rsid w:val="39AD4013"/>
    <w:rsid w:val="3A8E4CE4"/>
    <w:rsid w:val="3ABB3E24"/>
    <w:rsid w:val="3B291768"/>
    <w:rsid w:val="3BFC49AB"/>
    <w:rsid w:val="3D7602B7"/>
    <w:rsid w:val="3DA46DF1"/>
    <w:rsid w:val="3F6A7BC7"/>
    <w:rsid w:val="3F6D1396"/>
    <w:rsid w:val="40EB4D37"/>
    <w:rsid w:val="40F52FEF"/>
    <w:rsid w:val="40F81E75"/>
    <w:rsid w:val="41002113"/>
    <w:rsid w:val="418B2E4E"/>
    <w:rsid w:val="42132798"/>
    <w:rsid w:val="42522FC9"/>
    <w:rsid w:val="43601604"/>
    <w:rsid w:val="43EC6D1E"/>
    <w:rsid w:val="443A15EB"/>
    <w:rsid w:val="44476729"/>
    <w:rsid w:val="45C13CAF"/>
    <w:rsid w:val="45D143A6"/>
    <w:rsid w:val="46422A3B"/>
    <w:rsid w:val="479E4AED"/>
    <w:rsid w:val="490966A2"/>
    <w:rsid w:val="495358A4"/>
    <w:rsid w:val="49C32B24"/>
    <w:rsid w:val="4A041785"/>
    <w:rsid w:val="4A554513"/>
    <w:rsid w:val="4AF93138"/>
    <w:rsid w:val="4B047121"/>
    <w:rsid w:val="4B6E2997"/>
    <w:rsid w:val="4B942086"/>
    <w:rsid w:val="4BD30AE4"/>
    <w:rsid w:val="4C2E37C9"/>
    <w:rsid w:val="4D7A6B59"/>
    <w:rsid w:val="4F1B0EDE"/>
    <w:rsid w:val="4F861B59"/>
    <w:rsid w:val="4FD64688"/>
    <w:rsid w:val="50483F54"/>
    <w:rsid w:val="50587233"/>
    <w:rsid w:val="50613100"/>
    <w:rsid w:val="510F0578"/>
    <w:rsid w:val="51B66C9C"/>
    <w:rsid w:val="52A53210"/>
    <w:rsid w:val="52C5334E"/>
    <w:rsid w:val="54364A36"/>
    <w:rsid w:val="54450886"/>
    <w:rsid w:val="550A778F"/>
    <w:rsid w:val="55825812"/>
    <w:rsid w:val="56570A4D"/>
    <w:rsid w:val="570606C5"/>
    <w:rsid w:val="578B4043"/>
    <w:rsid w:val="57925AB5"/>
    <w:rsid w:val="57C8597E"/>
    <w:rsid w:val="588B1F91"/>
    <w:rsid w:val="595C481B"/>
    <w:rsid w:val="5B8F5B86"/>
    <w:rsid w:val="5D1A4582"/>
    <w:rsid w:val="5DB47301"/>
    <w:rsid w:val="5DEA5197"/>
    <w:rsid w:val="5E6917E2"/>
    <w:rsid w:val="5F04207B"/>
    <w:rsid w:val="5F2416E8"/>
    <w:rsid w:val="5F3D2C8D"/>
    <w:rsid w:val="5F7777D4"/>
    <w:rsid w:val="5F854D8B"/>
    <w:rsid w:val="5FC26C66"/>
    <w:rsid w:val="5FF3002D"/>
    <w:rsid w:val="600845C6"/>
    <w:rsid w:val="600F633E"/>
    <w:rsid w:val="604E167B"/>
    <w:rsid w:val="60CE5DB0"/>
    <w:rsid w:val="61167757"/>
    <w:rsid w:val="612003A7"/>
    <w:rsid w:val="6503601C"/>
    <w:rsid w:val="653463FD"/>
    <w:rsid w:val="677671A1"/>
    <w:rsid w:val="691F1FEC"/>
    <w:rsid w:val="69D56401"/>
    <w:rsid w:val="6D3451EC"/>
    <w:rsid w:val="6D3671B7"/>
    <w:rsid w:val="6DE17BFB"/>
    <w:rsid w:val="6F0B6421"/>
    <w:rsid w:val="6F7D0CF1"/>
    <w:rsid w:val="6F851F83"/>
    <w:rsid w:val="6FC560E7"/>
    <w:rsid w:val="7076123C"/>
    <w:rsid w:val="71445C1A"/>
    <w:rsid w:val="717E2EDA"/>
    <w:rsid w:val="71B86786"/>
    <w:rsid w:val="71F51107"/>
    <w:rsid w:val="730A1B38"/>
    <w:rsid w:val="73F65DB3"/>
    <w:rsid w:val="74EA5959"/>
    <w:rsid w:val="75677403"/>
    <w:rsid w:val="766D5A5C"/>
    <w:rsid w:val="76AC7038"/>
    <w:rsid w:val="787E7464"/>
    <w:rsid w:val="78BE62B2"/>
    <w:rsid w:val="79345C92"/>
    <w:rsid w:val="7A1949B0"/>
    <w:rsid w:val="7A5E7D4D"/>
    <w:rsid w:val="7AB83901"/>
    <w:rsid w:val="7CE05937"/>
    <w:rsid w:val="7CE936F8"/>
    <w:rsid w:val="7DA0067C"/>
    <w:rsid w:val="7DD67F2F"/>
    <w:rsid w:val="7DFD5ACF"/>
    <w:rsid w:val="7F0F1615"/>
    <w:rsid w:val="7FBB5E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0"/>
      <w:ind w:firstLine="420" w:firstLineChars="200"/>
    </w:pPr>
  </w:style>
  <w:style w:type="paragraph" w:styleId="3">
    <w:name w:val="Body Text Indent"/>
    <w:basedOn w:val="1"/>
    <w:qFormat/>
    <w:uiPriority w:val="0"/>
    <w:pPr>
      <w:ind w:firstLine="560" w:firstLineChars="200"/>
    </w:pPr>
    <w:rPr>
      <w:rFonts w:ascii="宋体" w:hAnsi="宋体"/>
      <w:kern w:val="0"/>
      <w:sz w:val="24"/>
    </w:rPr>
  </w:style>
  <w:style w:type="paragraph" w:styleId="4">
    <w:name w:val="Normal Indent"/>
    <w:basedOn w:val="1"/>
    <w:qFormat/>
    <w:uiPriority w:val="0"/>
    <w:pPr>
      <w:adjustRightInd w:val="0"/>
      <w:spacing w:line="360" w:lineRule="atLeast"/>
      <w:ind w:firstLine="420"/>
      <w:jc w:val="left"/>
      <w:textAlignment w:val="baseline"/>
    </w:pPr>
    <w:rPr>
      <w:rFonts w:ascii="Times New Roman" w:hAnsi="Times New Roman" w:eastAsia="宋体" w:cs="Times New Roman"/>
      <w:kern w:val="0"/>
      <w:sz w:val="24"/>
    </w:rPr>
  </w:style>
  <w:style w:type="paragraph" w:styleId="5">
    <w:name w:val="Plain Text"/>
    <w:basedOn w:val="1"/>
    <w:qFormat/>
    <w:uiPriority w:val="0"/>
    <w:rPr>
      <w:rFonts w:ascii="宋体" w:hAnsi="Courier New" w:cs="Courier New"/>
      <w:szCs w:val="21"/>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autoRedefine/>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page number"/>
    <w:basedOn w:val="10"/>
    <w:qFormat/>
    <w:uiPriority w:val="0"/>
  </w:style>
  <w:style w:type="character" w:styleId="13">
    <w:name w:val="FollowedHyperlink"/>
    <w:basedOn w:val="10"/>
    <w:autoRedefine/>
    <w:qFormat/>
    <w:uiPriority w:val="0"/>
    <w:rPr>
      <w:color w:val="800080"/>
      <w:u w:val="single"/>
    </w:rPr>
  </w:style>
  <w:style w:type="character" w:styleId="14">
    <w:name w:val="Hyperlink"/>
    <w:basedOn w:val="10"/>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3850</Words>
  <Characters>4161</Characters>
  <Lines>0</Lines>
  <Paragraphs>0</Paragraphs>
  <TotalTime>1</TotalTime>
  <ScaleCrop>false</ScaleCrop>
  <LinksUpToDate>false</LinksUpToDate>
  <CharactersWithSpaces>4278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2022-10-07T06:46:00Z</dcterms:created>
  <dc:creator>Administrator</dc:creator>
  <cp:lastModifiedBy>aicc.</cp:lastModifiedBy>
  <cp:lastPrinted>2026-08-22T08:28:00Z</cp:lastPrinted>
  <dcterms:modified xsi:type="dcterms:W3CDTF">2026-08-24T02:06:40Z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70F63156A62F4E9AAF707BAA1BAAFD29_13</vt:lpwstr>
  </property>
  <property fmtid="{D5CDD505-2E9C-101B-9397-08002B2CF9AE}" pid="4" name="KSOTemplateDocerSaveRecord">
    <vt:lpwstr>eyJoZGlkIjoiMTJmNjUxY2Q5YTMwMWE2MzgwN2U0MzQyYjVhNzYxODYiLCJ1c2VySWQiOiIxMjIxNzY1MzQyIn0=</vt:lpwstr>
  </property>
</Properties>
</file>