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3EDFC8">
      <w:pPr>
        <w:widowControl w:val="0"/>
        <w:kinsoku/>
        <w:adjustRightInd/>
        <w:snapToGrid/>
        <w:spacing w:line="560" w:lineRule="exact"/>
        <w:jc w:val="center"/>
        <w:textAlignment w:val="auto"/>
        <w:rPr>
          <w:rFonts w:cs="Times New Roman"/>
          <w:b/>
          <w:color w:val="auto"/>
          <w:sz w:val="44"/>
          <w:szCs w:val="44"/>
        </w:rPr>
      </w:pPr>
      <w:bookmarkStart w:id="8" w:name="_GoBack"/>
      <w:bookmarkEnd w:id="8"/>
      <w:bookmarkStart w:id="0" w:name="_Toc9627"/>
    </w:p>
    <w:p w14:paraId="1BBE4183">
      <w:pPr>
        <w:widowControl w:val="0"/>
        <w:kinsoku/>
        <w:adjustRightInd/>
        <w:snapToGrid/>
        <w:spacing w:line="560" w:lineRule="exact"/>
        <w:jc w:val="center"/>
        <w:textAlignment w:val="auto"/>
        <w:rPr>
          <w:rFonts w:cs="Times New Roman"/>
          <w:b/>
          <w:color w:val="auto"/>
          <w:sz w:val="44"/>
          <w:szCs w:val="44"/>
        </w:rPr>
      </w:pPr>
    </w:p>
    <w:bookmarkEnd w:id="0"/>
    <w:p w14:paraId="32FEF196">
      <w:pPr>
        <w:widowControl w:val="0"/>
        <w:kinsoku/>
        <w:adjustRightInd/>
        <w:snapToGrid/>
        <w:jc w:val="center"/>
        <w:textAlignment w:val="auto"/>
        <w:rPr>
          <w:rFonts w:cs="Times New Roman"/>
          <w:b/>
          <w:bCs/>
          <w:kern w:val="2"/>
          <w:sz w:val="40"/>
          <w:szCs w:val="36"/>
        </w:rPr>
      </w:pPr>
      <w:r>
        <w:rPr>
          <w:rFonts w:hint="eastAsia" w:cs="Times New Roman"/>
          <w:b/>
          <w:bCs/>
          <w:kern w:val="2"/>
          <w:sz w:val="40"/>
          <w:szCs w:val="36"/>
        </w:rPr>
        <w:t>顺和煤矿选煤厂抽屉式配电柜</w:t>
      </w:r>
      <w:r>
        <w:rPr>
          <w:rFonts w:cs="Times New Roman"/>
          <w:b/>
          <w:bCs/>
          <w:kern w:val="2"/>
          <w:sz w:val="40"/>
          <w:szCs w:val="36"/>
        </w:rPr>
        <w:t>(</w:t>
      </w:r>
      <w:r>
        <w:rPr>
          <w:rFonts w:hint="eastAsia" w:cs="Times New Roman"/>
          <w:b/>
          <w:bCs/>
          <w:kern w:val="2"/>
          <w:sz w:val="40"/>
          <w:szCs w:val="36"/>
        </w:rPr>
        <w:t>空壳</w:t>
      </w:r>
      <w:r>
        <w:rPr>
          <w:rFonts w:cs="Times New Roman"/>
          <w:b/>
          <w:bCs/>
          <w:kern w:val="2"/>
          <w:sz w:val="40"/>
          <w:szCs w:val="36"/>
        </w:rPr>
        <w:t>)</w:t>
      </w:r>
      <w:r>
        <w:rPr>
          <w:rFonts w:hint="eastAsia" w:cs="Times New Roman"/>
          <w:b/>
          <w:bCs/>
          <w:kern w:val="2"/>
          <w:sz w:val="40"/>
          <w:szCs w:val="36"/>
        </w:rPr>
        <w:t>采购项目</w:t>
      </w:r>
    </w:p>
    <w:p w14:paraId="3371C76D">
      <w:pPr>
        <w:widowControl w:val="0"/>
        <w:kinsoku/>
        <w:adjustRightInd/>
        <w:snapToGrid/>
        <w:jc w:val="center"/>
        <w:textAlignment w:val="auto"/>
        <w:rPr>
          <w:rFonts w:cs="Times New Roman"/>
          <w:b/>
          <w:bCs/>
          <w:kern w:val="2"/>
          <w:sz w:val="32"/>
          <w:szCs w:val="28"/>
        </w:rPr>
      </w:pPr>
      <w:r>
        <w:rPr>
          <w:rFonts w:hint="eastAsia" w:cs="Times New Roman"/>
          <w:b/>
          <w:bCs/>
          <w:kern w:val="2"/>
          <w:sz w:val="40"/>
          <w:szCs w:val="36"/>
        </w:rPr>
        <w:t>技术要求</w:t>
      </w:r>
    </w:p>
    <w:p w14:paraId="779A1A8C">
      <w:pPr>
        <w:widowControl w:val="0"/>
        <w:kinsoku/>
        <w:adjustRightInd/>
        <w:snapToGrid/>
        <w:jc w:val="center"/>
        <w:textAlignment w:val="auto"/>
        <w:rPr>
          <w:rFonts w:cs="Times New Roman"/>
          <w:b/>
          <w:bCs/>
          <w:kern w:val="2"/>
          <w:sz w:val="32"/>
          <w:szCs w:val="28"/>
        </w:rPr>
      </w:pPr>
    </w:p>
    <w:p w14:paraId="6D67ECAE">
      <w:pPr>
        <w:pStyle w:val="37"/>
      </w:pPr>
    </w:p>
    <w:p w14:paraId="14E4D3E1"/>
    <w:p w14:paraId="5445E380">
      <w:pPr>
        <w:pStyle w:val="37"/>
      </w:pPr>
    </w:p>
    <w:p w14:paraId="1233C5AC"/>
    <w:p w14:paraId="137B99AB">
      <w:pPr>
        <w:pStyle w:val="37"/>
      </w:pPr>
    </w:p>
    <w:p w14:paraId="0BB823AA"/>
    <w:p w14:paraId="6B27619E"/>
    <w:p w14:paraId="4C2E12E5"/>
    <w:p w14:paraId="42FB5DB1"/>
    <w:p w14:paraId="29EE5C74"/>
    <w:p w14:paraId="7F7DE465"/>
    <w:p w14:paraId="673218BC"/>
    <w:p w14:paraId="64127B46">
      <w:pPr>
        <w:pStyle w:val="37"/>
      </w:pPr>
    </w:p>
    <w:p w14:paraId="38D09711"/>
    <w:p w14:paraId="3AD062FE"/>
    <w:p w14:paraId="42F51970"/>
    <w:p w14:paraId="7E4F8780"/>
    <w:p w14:paraId="02111CE8"/>
    <w:p w14:paraId="175533B4"/>
    <w:p w14:paraId="5B23A79A">
      <w:pPr>
        <w:pStyle w:val="37"/>
      </w:pPr>
    </w:p>
    <w:p w14:paraId="5BF4FD9B">
      <w:pPr>
        <w:pStyle w:val="37"/>
      </w:pPr>
    </w:p>
    <w:p w14:paraId="24A65A3F">
      <w:pPr>
        <w:spacing w:line="600" w:lineRule="auto"/>
        <w:ind w:firstLine="1928" w:firstLineChars="600"/>
        <w:rPr>
          <w:rFonts w:ascii="宋体"/>
          <w:b/>
          <w:sz w:val="32"/>
          <w:szCs w:val="32"/>
        </w:rPr>
      </w:pPr>
      <w:r>
        <w:rPr>
          <w:rFonts w:hint="eastAsia" w:ascii="宋体" w:hAnsi="宋体"/>
          <w:b/>
          <w:sz w:val="32"/>
          <w:szCs w:val="32"/>
        </w:rPr>
        <w:t>编</w:t>
      </w:r>
      <w:r>
        <w:rPr>
          <w:rFonts w:hint="eastAsia" w:ascii="宋体" w:hAnsi="宋体"/>
          <w:b/>
          <w:sz w:val="32"/>
          <w:szCs w:val="32"/>
          <w:lang w:val="en-US" w:eastAsia="zh-CN"/>
        </w:rPr>
        <w:t xml:space="preserve">    </w:t>
      </w:r>
      <w:r>
        <w:rPr>
          <w:rFonts w:hint="eastAsia" w:ascii="宋体" w:hAnsi="宋体"/>
          <w:b/>
          <w:sz w:val="32"/>
          <w:szCs w:val="32"/>
        </w:rPr>
        <w:t>制：</w:t>
      </w:r>
    </w:p>
    <w:p w14:paraId="05AA033A">
      <w:pPr>
        <w:spacing w:line="600" w:lineRule="auto"/>
        <w:ind w:firstLine="1928" w:firstLineChars="600"/>
        <w:rPr>
          <w:rFonts w:ascii="宋体"/>
          <w:b/>
          <w:sz w:val="32"/>
          <w:szCs w:val="32"/>
        </w:rPr>
      </w:pPr>
      <w:r>
        <w:rPr>
          <w:rFonts w:hint="eastAsia" w:ascii="宋体" w:hAnsi="宋体"/>
          <w:b/>
          <w:sz w:val="32"/>
          <w:szCs w:val="32"/>
        </w:rPr>
        <w:t>审</w:t>
      </w:r>
      <w:r>
        <w:rPr>
          <w:rFonts w:hint="eastAsia" w:ascii="宋体" w:hAnsi="宋体"/>
          <w:b/>
          <w:sz w:val="32"/>
          <w:szCs w:val="32"/>
          <w:lang w:val="en-US" w:eastAsia="zh-CN"/>
        </w:rPr>
        <w:t xml:space="preserve">    </w:t>
      </w:r>
      <w:r>
        <w:rPr>
          <w:rFonts w:hint="eastAsia" w:ascii="宋体" w:hAnsi="宋体"/>
          <w:b/>
          <w:sz w:val="32"/>
          <w:szCs w:val="32"/>
        </w:rPr>
        <w:t>核：</w:t>
      </w:r>
    </w:p>
    <w:p w14:paraId="3F2727B9">
      <w:pPr>
        <w:spacing w:line="600" w:lineRule="auto"/>
        <w:ind w:firstLine="1928" w:firstLineChars="600"/>
        <w:rPr>
          <w:rFonts w:ascii="宋体"/>
          <w:b/>
          <w:sz w:val="32"/>
          <w:szCs w:val="32"/>
        </w:rPr>
      </w:pPr>
      <w:r>
        <w:rPr>
          <w:rFonts w:hint="eastAsia" w:ascii="宋体" w:hAnsi="宋体"/>
          <w:b/>
          <w:sz w:val="32"/>
          <w:szCs w:val="32"/>
        </w:rPr>
        <w:t>审</w:t>
      </w:r>
      <w:r>
        <w:rPr>
          <w:rFonts w:hint="eastAsia" w:ascii="宋体" w:hAnsi="宋体"/>
          <w:b/>
          <w:sz w:val="32"/>
          <w:szCs w:val="32"/>
          <w:lang w:val="en-US" w:eastAsia="zh-CN"/>
        </w:rPr>
        <w:t xml:space="preserve">    </w:t>
      </w:r>
      <w:r>
        <w:rPr>
          <w:rFonts w:hint="eastAsia" w:ascii="宋体" w:hAnsi="宋体"/>
          <w:b/>
          <w:sz w:val="32"/>
          <w:szCs w:val="32"/>
        </w:rPr>
        <w:t>批：</w:t>
      </w:r>
    </w:p>
    <w:p w14:paraId="1733F8CA">
      <w:pPr>
        <w:spacing w:line="600" w:lineRule="auto"/>
        <w:ind w:firstLine="1928" w:firstLineChars="600"/>
        <w:rPr>
          <w:rFonts w:ascii="宋体"/>
          <w:b/>
          <w:sz w:val="32"/>
          <w:szCs w:val="32"/>
        </w:rPr>
      </w:pPr>
      <w:r>
        <w:rPr>
          <w:rFonts w:hint="eastAsia" w:ascii="宋体" w:hAnsi="宋体"/>
          <w:b/>
          <w:sz w:val="32"/>
          <w:szCs w:val="32"/>
        </w:rPr>
        <w:t>编制日期：</w:t>
      </w:r>
      <w:r>
        <w:rPr>
          <w:rFonts w:ascii="宋体" w:hAnsi="宋体"/>
          <w:b/>
          <w:sz w:val="32"/>
          <w:szCs w:val="32"/>
        </w:rPr>
        <w:t xml:space="preserve">    </w:t>
      </w:r>
      <w:r>
        <w:rPr>
          <w:rFonts w:hint="eastAsia" w:ascii="宋体" w:hAnsi="宋体"/>
          <w:b/>
          <w:sz w:val="32"/>
          <w:szCs w:val="32"/>
        </w:rPr>
        <w:t>年</w:t>
      </w:r>
      <w:r>
        <w:rPr>
          <w:rFonts w:ascii="宋体" w:hAnsi="宋体"/>
          <w:b/>
          <w:sz w:val="32"/>
          <w:szCs w:val="32"/>
        </w:rPr>
        <w:t xml:space="preserve">     </w:t>
      </w:r>
      <w:r>
        <w:rPr>
          <w:rFonts w:hint="eastAsia" w:ascii="宋体" w:hAnsi="宋体"/>
          <w:b/>
          <w:sz w:val="32"/>
          <w:szCs w:val="32"/>
        </w:rPr>
        <w:t>月</w:t>
      </w:r>
      <w:r>
        <w:rPr>
          <w:rFonts w:ascii="宋体" w:hAnsi="宋体"/>
          <w:b/>
          <w:sz w:val="32"/>
          <w:szCs w:val="32"/>
        </w:rPr>
        <w:t xml:space="preserve">    </w:t>
      </w:r>
      <w:r>
        <w:rPr>
          <w:rFonts w:hint="eastAsia" w:ascii="宋体" w:hAnsi="宋体"/>
          <w:b/>
          <w:sz w:val="32"/>
          <w:szCs w:val="32"/>
        </w:rPr>
        <w:t>日</w:t>
      </w:r>
    </w:p>
    <w:p w14:paraId="2923399A">
      <w:pPr>
        <w:spacing w:line="700" w:lineRule="exact"/>
        <w:ind w:firstLine="1928" w:firstLineChars="600"/>
        <w:rPr>
          <w:rFonts w:ascii="宋体"/>
          <w:b/>
          <w:sz w:val="32"/>
          <w:szCs w:val="32"/>
        </w:rPr>
      </w:pPr>
    </w:p>
    <w:p w14:paraId="1FC1A478">
      <w:pPr>
        <w:spacing w:line="360" w:lineRule="auto"/>
        <w:ind w:firstLine="643" w:firstLineChars="200"/>
        <w:jc w:val="center"/>
        <w:rPr>
          <w:b/>
          <w:bCs/>
          <w:color w:val="auto"/>
          <w:sz w:val="32"/>
          <w:szCs w:val="32"/>
        </w:rPr>
      </w:pPr>
    </w:p>
    <w:p w14:paraId="332C67D7">
      <w:pPr>
        <w:pStyle w:val="17"/>
        <w:ind w:firstLine="31680"/>
        <w:rPr>
          <w:color w:val="auto"/>
        </w:rPr>
      </w:pPr>
    </w:p>
    <w:p w14:paraId="4C9CCBA8">
      <w:pPr>
        <w:spacing w:before="41" w:line="360" w:lineRule="auto"/>
        <w:rPr>
          <w:color w:val="auto"/>
        </w:rPr>
        <w:sectPr>
          <w:pgSz w:w="11910" w:h="16840"/>
          <w:pgMar w:top="805" w:right="1432" w:bottom="0" w:left="1400" w:header="0" w:footer="0" w:gutter="0"/>
          <w:cols w:space="425" w:num="1"/>
        </w:sectPr>
      </w:pPr>
    </w:p>
    <w:p w14:paraId="2CF5F829">
      <w:pPr>
        <w:sectPr>
          <w:type w:val="continuous"/>
          <w:pgSz w:w="11910" w:h="16840"/>
          <w:pgMar w:top="805" w:right="1432" w:bottom="0" w:left="1400" w:header="0" w:footer="0" w:gutter="0"/>
          <w:cols w:equalWidth="0" w:num="1">
            <w:col w:w="9078"/>
          </w:cols>
        </w:sectPr>
      </w:pPr>
    </w:p>
    <w:p w14:paraId="79B5D662">
      <w:pPr>
        <w:pStyle w:val="3"/>
      </w:pPr>
      <w:bookmarkStart w:id="1" w:name="_Toc26676"/>
      <w:bookmarkStart w:id="2" w:name="_Toc18331"/>
      <w:bookmarkStart w:id="3" w:name="_Toc5085"/>
      <w:bookmarkStart w:id="4" w:name="_Toc7279"/>
      <w:bookmarkStart w:id="5" w:name="_Toc24935"/>
      <w:bookmarkStart w:id="6" w:name="_Toc32086"/>
      <w:bookmarkStart w:id="7" w:name="_Toc3687"/>
      <w:r>
        <w:rPr>
          <w:rFonts w:hint="eastAsia"/>
        </w:rPr>
        <w:t>顺和煤矿选煤厂抽屉式配电柜</w:t>
      </w:r>
      <w:r>
        <w:t>(</w:t>
      </w:r>
      <w:r>
        <w:rPr>
          <w:rFonts w:hint="eastAsia"/>
        </w:rPr>
        <w:t>空壳</w:t>
      </w:r>
      <w:r>
        <w:t>)</w:t>
      </w:r>
      <w:r>
        <w:rPr>
          <w:rFonts w:hint="eastAsia"/>
        </w:rPr>
        <w:t>采购项目技术要求</w:t>
      </w:r>
    </w:p>
    <w:p w14:paraId="53AD79FB">
      <w:pPr>
        <w:keepNext w:val="0"/>
        <w:keepLines w:val="0"/>
        <w:pageBreakBefore w:val="0"/>
        <w:widowControl/>
        <w:kinsoku w:val="0"/>
        <w:wordWrap/>
        <w:overflowPunct/>
        <w:topLinePunct w:val="0"/>
        <w:autoSpaceDE/>
        <w:autoSpaceDN/>
        <w:bidi w:val="0"/>
        <w:adjustRightInd w:val="0"/>
        <w:snapToGrid w:val="0"/>
        <w:spacing w:line="360" w:lineRule="auto"/>
        <w:textAlignment w:val="baseline"/>
        <w:rPr>
          <w:rFonts w:hint="eastAsia" w:ascii="仿宋" w:hAnsi="仿宋" w:eastAsia="仿宋" w:cs="仿宋"/>
          <w:b/>
          <w:sz w:val="30"/>
          <w:szCs w:val="30"/>
        </w:rPr>
      </w:pPr>
      <w:r>
        <w:rPr>
          <w:rFonts w:hint="eastAsia" w:ascii="仿宋" w:hAnsi="仿宋" w:eastAsia="仿宋" w:cs="仿宋"/>
          <w:b/>
          <w:sz w:val="30"/>
          <w:szCs w:val="30"/>
        </w:rPr>
        <w:t>一、项目</w:t>
      </w:r>
      <w:bookmarkEnd w:id="1"/>
      <w:bookmarkEnd w:id="2"/>
      <w:bookmarkEnd w:id="3"/>
      <w:r>
        <w:rPr>
          <w:rFonts w:hint="eastAsia" w:ascii="仿宋" w:hAnsi="仿宋" w:eastAsia="仿宋" w:cs="仿宋"/>
          <w:b/>
          <w:sz w:val="30"/>
          <w:szCs w:val="30"/>
        </w:rPr>
        <w:t>概况</w:t>
      </w:r>
      <w:bookmarkEnd w:id="4"/>
      <w:bookmarkEnd w:id="5"/>
      <w:bookmarkEnd w:id="6"/>
      <w:bookmarkEnd w:id="7"/>
    </w:p>
    <w:p w14:paraId="6C9DC467">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本项目为顺和煤矿选煤厂新增</w:t>
      </w:r>
      <w:r>
        <w:rPr>
          <w:rFonts w:hint="eastAsia" w:ascii="仿宋" w:hAnsi="仿宋" w:eastAsia="仿宋" w:cs="仿宋"/>
          <w:sz w:val="30"/>
          <w:szCs w:val="30"/>
          <w:lang w:val="en-US" w:eastAsia="zh-CN"/>
        </w:rPr>
        <w:t>4</w:t>
      </w:r>
      <w:r>
        <w:rPr>
          <w:rFonts w:hint="eastAsia" w:ascii="仿宋" w:hAnsi="仿宋" w:eastAsia="仿宋" w:cs="仿宋"/>
          <w:sz w:val="30"/>
          <w:szCs w:val="30"/>
        </w:rPr>
        <w:t>台IMCC6000型抽屉式智能配电柜成套柜体加工供货，配电柜用于选煤厂低压生产设备集中配电，系统额定工作电压 380VAC，采用上进线、上出线供电方式。柜内功率元器件（变频器、断路器、接触器、综合保护器）由甲方自</w:t>
      </w:r>
      <w:r>
        <w:rPr>
          <w:rFonts w:hint="eastAsia" w:ascii="仿宋" w:hAnsi="仿宋" w:eastAsia="仿宋" w:cs="仿宋"/>
          <w:sz w:val="30"/>
          <w:szCs w:val="30"/>
          <w:lang w:val="en-US" w:eastAsia="zh-CN"/>
        </w:rPr>
        <w:t>备</w:t>
      </w:r>
      <w:r>
        <w:rPr>
          <w:rFonts w:hint="eastAsia" w:ascii="仿宋" w:hAnsi="仿宋" w:eastAsia="仿宋" w:cs="仿宋"/>
          <w:sz w:val="30"/>
          <w:szCs w:val="30"/>
        </w:rPr>
        <w:t>；乙方负责柜体成套加工、配套母排、安装附件、控制回路基础配件、操作机构、指示灯等。</w:t>
      </w:r>
    </w:p>
    <w:p w14:paraId="61BEEBD1">
      <w:pPr>
        <w:keepNext w:val="0"/>
        <w:keepLines w:val="0"/>
        <w:pageBreakBefore w:val="0"/>
        <w:widowControl/>
        <w:kinsoku w:val="0"/>
        <w:wordWrap/>
        <w:overflowPunct/>
        <w:topLinePunct w:val="0"/>
        <w:autoSpaceDE/>
        <w:autoSpaceDN/>
        <w:bidi w:val="0"/>
        <w:adjustRightInd w:val="0"/>
        <w:snapToGrid w:val="0"/>
        <w:spacing w:line="360" w:lineRule="auto"/>
        <w:textAlignment w:val="baseline"/>
        <w:rPr>
          <w:rFonts w:hint="eastAsia" w:ascii="仿宋" w:hAnsi="仿宋" w:eastAsia="仿宋" w:cs="仿宋"/>
          <w:b/>
          <w:sz w:val="30"/>
          <w:szCs w:val="30"/>
        </w:rPr>
      </w:pPr>
      <w:r>
        <w:rPr>
          <w:rFonts w:hint="eastAsia" w:ascii="仿宋" w:hAnsi="仿宋" w:eastAsia="仿宋" w:cs="仿宋"/>
          <w:b/>
          <w:sz w:val="30"/>
          <w:szCs w:val="30"/>
        </w:rPr>
        <w:t>二、供货范围</w:t>
      </w:r>
    </w:p>
    <w:p w14:paraId="62F55A0F">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IMCC6000型标准柜体 4 台（尺寸 2200×800×1000mm），含全套钣金壳体、前后柜门、门锁、操作手柄；</w:t>
      </w:r>
    </w:p>
    <w:p w14:paraId="7A84D7CA">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80×10mm分色铜母排（黄 / 绿 / 红 / 蓝）、柜间连接母排、绝缘护套、固定绝缘子；</w:t>
      </w:r>
    </w:p>
    <w:p w14:paraId="7C915E4A">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抽屉合闸操作机构，预装至柜体；</w:t>
      </w:r>
    </w:p>
    <w:p w14:paraId="1F6AC2E4">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柜内16根元器件固定连接横杆、全部安装连接板、支架、螺栓、绝缘垫片等辅材；</w:t>
      </w:r>
    </w:p>
    <w:p w14:paraId="5AF72603">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4扇上部小门配套 AC220V 红色指示灯、指示灯底座、标准开孔加工；</w:t>
      </w:r>
    </w:p>
    <w:p w14:paraId="69722952">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4组×20片2.5mm</w:t>
      </w:r>
      <w:r>
        <w:rPr>
          <w:rFonts w:hint="eastAsia" w:ascii="宋体" w:hAnsi="宋体" w:eastAsia="宋体" w:cs="宋体"/>
          <w:sz w:val="28"/>
          <w:szCs w:val="28"/>
        </w:rPr>
        <w:t>²</w:t>
      </w:r>
      <w:r>
        <w:rPr>
          <w:rFonts w:hint="eastAsia" w:ascii="仿宋" w:hAnsi="仿宋" w:eastAsia="仿宋" w:cs="仿宋"/>
          <w:sz w:val="30"/>
          <w:szCs w:val="30"/>
        </w:rPr>
        <w:t>接线端子及控制走线附件；</w:t>
      </w:r>
    </w:p>
    <w:p w14:paraId="7A50FBC2">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b/>
          <w:sz w:val="30"/>
          <w:szCs w:val="30"/>
          <w:lang w:eastAsia="zh-CN"/>
        </w:rPr>
      </w:pPr>
      <w:r>
        <w:rPr>
          <w:rFonts w:hint="eastAsia" w:ascii="仿宋" w:hAnsi="仿宋" w:eastAsia="仿宋" w:cs="仿宋"/>
          <w:sz w:val="30"/>
          <w:szCs w:val="30"/>
        </w:rPr>
        <w:t>蓝底白字头部标识牌安装底座、柜体铭牌、接地铜牌</w:t>
      </w:r>
      <w:r>
        <w:rPr>
          <w:rFonts w:hint="eastAsia" w:ascii="仿宋" w:hAnsi="仿宋" w:eastAsia="仿宋" w:cs="仿宋"/>
          <w:sz w:val="30"/>
          <w:szCs w:val="30"/>
          <w:lang w:eastAsia="zh-CN"/>
        </w:rPr>
        <w:t>。</w:t>
      </w:r>
    </w:p>
    <w:p w14:paraId="4207E411">
      <w:pPr>
        <w:keepNext w:val="0"/>
        <w:keepLines w:val="0"/>
        <w:pageBreakBefore w:val="0"/>
        <w:widowControl/>
        <w:kinsoku w:val="0"/>
        <w:wordWrap/>
        <w:overflowPunct/>
        <w:topLinePunct w:val="0"/>
        <w:autoSpaceDE/>
        <w:autoSpaceDN/>
        <w:bidi w:val="0"/>
        <w:adjustRightInd w:val="0"/>
        <w:snapToGrid w:val="0"/>
        <w:spacing w:line="360" w:lineRule="auto"/>
        <w:textAlignment w:val="baseline"/>
        <w:rPr>
          <w:rFonts w:hint="eastAsia" w:ascii="仿宋" w:hAnsi="仿宋" w:eastAsia="仿宋" w:cs="仿宋"/>
          <w:b/>
          <w:sz w:val="30"/>
          <w:szCs w:val="30"/>
        </w:rPr>
      </w:pPr>
      <w:r>
        <w:rPr>
          <w:rFonts w:hint="eastAsia" w:ascii="仿宋" w:hAnsi="仿宋" w:eastAsia="仿宋" w:cs="仿宋"/>
          <w:b/>
          <w:sz w:val="30"/>
          <w:szCs w:val="30"/>
          <w:lang w:val="en-US" w:eastAsia="zh-CN"/>
        </w:rPr>
        <w:t>三、</w:t>
      </w:r>
      <w:r>
        <w:rPr>
          <w:rFonts w:hint="eastAsia" w:ascii="仿宋" w:hAnsi="仿宋" w:eastAsia="仿宋" w:cs="仿宋"/>
          <w:b/>
          <w:sz w:val="30"/>
          <w:szCs w:val="30"/>
        </w:rPr>
        <w:t>设备技术参数</w:t>
      </w:r>
    </w:p>
    <w:p w14:paraId="29C93E94">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1、设备规格</w:t>
      </w:r>
    </w:p>
    <w:p w14:paraId="19628983">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1.1设备名称：抽屉式配电柜(空壳)</w:t>
      </w:r>
    </w:p>
    <w:p w14:paraId="55A8271B">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1.2数量：4台</w:t>
      </w:r>
    </w:p>
    <w:p w14:paraId="58369694">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1.3安装方式：室内安装型</w:t>
      </w:r>
    </w:p>
    <w:p w14:paraId="131716C8">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1.4外壳防护等级：IP40</w:t>
      </w:r>
    </w:p>
    <w:p w14:paraId="01242C17">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1.5工作环境：-25℃~+50℃</w:t>
      </w:r>
    </w:p>
    <w:p w14:paraId="74B93DE0">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2、设备基础参数清单</w:t>
      </w:r>
    </w:p>
    <w:tbl>
      <w:tblPr>
        <w:tblStyle w:val="19"/>
        <w:tblW w:w="8715" w:type="dxa"/>
        <w:tblInd w:w="348" w:type="dxa"/>
        <w:tblLayout w:type="fixed"/>
        <w:tblCellMar>
          <w:top w:w="0" w:type="dxa"/>
          <w:left w:w="108" w:type="dxa"/>
          <w:bottom w:w="0" w:type="dxa"/>
          <w:right w:w="108" w:type="dxa"/>
        </w:tblCellMar>
      </w:tblPr>
      <w:tblGrid>
        <w:gridCol w:w="2085"/>
        <w:gridCol w:w="1155"/>
        <w:gridCol w:w="780"/>
        <w:gridCol w:w="1575"/>
        <w:gridCol w:w="1965"/>
        <w:gridCol w:w="1155"/>
      </w:tblGrid>
      <w:tr w14:paraId="272E3B89">
        <w:tblPrEx>
          <w:tblCellMar>
            <w:top w:w="0" w:type="dxa"/>
            <w:left w:w="108" w:type="dxa"/>
            <w:bottom w:w="0" w:type="dxa"/>
            <w:right w:w="108" w:type="dxa"/>
          </w:tblCellMar>
        </w:tblPrEx>
        <w:trPr>
          <w:trHeight w:val="643" w:hRule="atLeast"/>
        </w:trPr>
        <w:tc>
          <w:tcPr>
            <w:tcW w:w="2085" w:type="dxa"/>
            <w:tcBorders>
              <w:top w:val="single" w:color="auto" w:sz="4" w:space="0"/>
              <w:left w:val="single" w:color="auto" w:sz="4" w:space="0"/>
              <w:bottom w:val="single" w:color="auto" w:sz="4" w:space="0"/>
              <w:right w:val="single" w:color="auto" w:sz="4" w:space="0"/>
            </w:tcBorders>
            <w:noWrap/>
            <w:vAlign w:val="center"/>
          </w:tcPr>
          <w:p w14:paraId="0B722E59">
            <w:pPr>
              <w:pStyle w:val="2"/>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eastAsia" w:ascii="宋体" w:hAnsi="宋体" w:eastAsia="宋体" w:cs="宋体"/>
                <w:b/>
                <w:bCs/>
                <w:color w:val="auto"/>
                <w:sz w:val="21"/>
                <w:szCs w:val="21"/>
              </w:rPr>
            </w:pPr>
            <w:r>
              <w:rPr>
                <w:rFonts w:hint="eastAsia" w:ascii="宋体" w:hAnsi="宋体" w:eastAsia="宋体" w:cs="宋体"/>
                <w:b/>
                <w:bCs/>
                <w:color w:val="auto"/>
                <w:sz w:val="21"/>
                <w:szCs w:val="21"/>
              </w:rPr>
              <w:t>设备名称</w:t>
            </w:r>
          </w:p>
        </w:tc>
        <w:tc>
          <w:tcPr>
            <w:tcW w:w="1155" w:type="dxa"/>
            <w:tcBorders>
              <w:top w:val="single" w:color="auto" w:sz="4" w:space="0"/>
              <w:left w:val="nil"/>
              <w:bottom w:val="single" w:color="auto" w:sz="4" w:space="0"/>
              <w:right w:val="single" w:color="auto" w:sz="4" w:space="0"/>
            </w:tcBorders>
            <w:noWrap/>
            <w:vAlign w:val="center"/>
          </w:tcPr>
          <w:p w14:paraId="510C4D19">
            <w:pPr>
              <w:pStyle w:val="2"/>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eastAsia" w:ascii="宋体" w:hAnsi="宋体" w:eastAsia="宋体" w:cs="宋体"/>
                <w:b/>
                <w:bCs/>
                <w:color w:val="auto"/>
                <w:sz w:val="21"/>
                <w:szCs w:val="21"/>
              </w:rPr>
            </w:pPr>
            <w:r>
              <w:rPr>
                <w:rFonts w:hint="eastAsia" w:ascii="宋体" w:hAnsi="宋体" w:eastAsia="宋体" w:cs="宋体"/>
                <w:b/>
                <w:bCs/>
                <w:color w:val="auto"/>
                <w:sz w:val="21"/>
                <w:szCs w:val="21"/>
              </w:rPr>
              <w:t>型号</w:t>
            </w:r>
          </w:p>
        </w:tc>
        <w:tc>
          <w:tcPr>
            <w:tcW w:w="780" w:type="dxa"/>
            <w:tcBorders>
              <w:top w:val="single" w:color="auto" w:sz="4" w:space="0"/>
              <w:left w:val="nil"/>
              <w:bottom w:val="single" w:color="auto" w:sz="4" w:space="0"/>
              <w:right w:val="single" w:color="auto" w:sz="4" w:space="0"/>
            </w:tcBorders>
            <w:noWrap/>
            <w:vAlign w:val="center"/>
          </w:tcPr>
          <w:p w14:paraId="063C46D8">
            <w:pPr>
              <w:pStyle w:val="2"/>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eastAsia" w:ascii="宋体" w:hAnsi="宋体" w:eastAsia="宋体" w:cs="宋体"/>
                <w:b/>
                <w:bCs/>
                <w:color w:val="auto"/>
                <w:sz w:val="21"/>
                <w:szCs w:val="21"/>
              </w:rPr>
            </w:pPr>
            <w:r>
              <w:rPr>
                <w:rFonts w:hint="eastAsia" w:ascii="宋体" w:hAnsi="宋体" w:eastAsia="宋体" w:cs="宋体"/>
                <w:b/>
                <w:bCs/>
                <w:color w:val="auto"/>
                <w:sz w:val="21"/>
                <w:szCs w:val="21"/>
              </w:rPr>
              <w:t>数量</w:t>
            </w:r>
          </w:p>
        </w:tc>
        <w:tc>
          <w:tcPr>
            <w:tcW w:w="1575" w:type="dxa"/>
            <w:tcBorders>
              <w:top w:val="single" w:color="auto" w:sz="4" w:space="0"/>
              <w:left w:val="nil"/>
              <w:bottom w:val="single" w:color="auto" w:sz="4" w:space="0"/>
              <w:right w:val="single" w:color="auto" w:sz="4" w:space="0"/>
            </w:tcBorders>
            <w:noWrap/>
            <w:vAlign w:val="center"/>
          </w:tcPr>
          <w:p w14:paraId="5A759286">
            <w:pPr>
              <w:pStyle w:val="2"/>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eastAsia" w:ascii="宋体" w:hAnsi="宋体" w:eastAsia="宋体" w:cs="宋体"/>
                <w:b/>
                <w:bCs/>
                <w:color w:val="auto"/>
                <w:sz w:val="21"/>
                <w:szCs w:val="21"/>
              </w:rPr>
            </w:pPr>
            <w:r>
              <w:rPr>
                <w:rFonts w:hint="eastAsia" w:ascii="宋体" w:hAnsi="宋体" w:eastAsia="宋体" w:cs="宋体"/>
                <w:b/>
                <w:bCs/>
                <w:color w:val="auto"/>
                <w:sz w:val="21"/>
                <w:szCs w:val="21"/>
              </w:rPr>
              <w:t>额定电压</w:t>
            </w:r>
          </w:p>
        </w:tc>
        <w:tc>
          <w:tcPr>
            <w:tcW w:w="1965" w:type="dxa"/>
            <w:tcBorders>
              <w:top w:val="single" w:color="auto" w:sz="4" w:space="0"/>
              <w:left w:val="nil"/>
              <w:bottom w:val="single" w:color="auto" w:sz="4" w:space="0"/>
              <w:right w:val="single" w:color="auto" w:sz="4" w:space="0"/>
            </w:tcBorders>
            <w:noWrap/>
            <w:vAlign w:val="center"/>
          </w:tcPr>
          <w:p w14:paraId="7DD1981C">
            <w:pPr>
              <w:pStyle w:val="2"/>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eastAsia" w:ascii="宋体" w:hAnsi="宋体" w:eastAsia="宋体" w:cs="宋体"/>
                <w:b/>
                <w:bCs/>
                <w:color w:val="auto"/>
                <w:sz w:val="21"/>
                <w:szCs w:val="21"/>
              </w:rPr>
            </w:pPr>
            <w:r>
              <w:rPr>
                <w:rFonts w:hint="eastAsia" w:ascii="宋体" w:hAnsi="宋体" w:eastAsia="宋体" w:cs="宋体"/>
                <w:b/>
                <w:bCs/>
                <w:color w:val="auto"/>
                <w:sz w:val="21"/>
                <w:szCs w:val="21"/>
              </w:rPr>
              <w:t>进线出线方式</w:t>
            </w:r>
          </w:p>
        </w:tc>
        <w:tc>
          <w:tcPr>
            <w:tcW w:w="1155" w:type="dxa"/>
            <w:tcBorders>
              <w:top w:val="single" w:color="auto" w:sz="4" w:space="0"/>
              <w:left w:val="nil"/>
              <w:bottom w:val="single" w:color="auto" w:sz="4" w:space="0"/>
              <w:right w:val="single" w:color="auto" w:sz="4" w:space="0"/>
            </w:tcBorders>
            <w:noWrap/>
            <w:vAlign w:val="center"/>
          </w:tcPr>
          <w:p w14:paraId="0C7CE983">
            <w:pPr>
              <w:pStyle w:val="2"/>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备注</w:t>
            </w:r>
          </w:p>
        </w:tc>
      </w:tr>
      <w:tr w14:paraId="468F2D6B">
        <w:tblPrEx>
          <w:tblCellMar>
            <w:top w:w="0" w:type="dxa"/>
            <w:left w:w="108" w:type="dxa"/>
            <w:bottom w:w="0" w:type="dxa"/>
            <w:right w:w="108" w:type="dxa"/>
          </w:tblCellMar>
        </w:tblPrEx>
        <w:trPr>
          <w:trHeight w:val="658" w:hRule="atLeast"/>
        </w:trPr>
        <w:tc>
          <w:tcPr>
            <w:tcW w:w="2085" w:type="dxa"/>
            <w:tcBorders>
              <w:top w:val="nil"/>
              <w:left w:val="single" w:color="auto" w:sz="4" w:space="0"/>
              <w:bottom w:val="single" w:color="auto" w:sz="4" w:space="0"/>
              <w:right w:val="single" w:color="auto" w:sz="4" w:space="0"/>
            </w:tcBorders>
            <w:noWrap/>
            <w:vAlign w:val="center"/>
          </w:tcPr>
          <w:p w14:paraId="035EF9D0">
            <w:pPr>
              <w:pStyle w:val="2"/>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抽屉式智能配电柜</w:t>
            </w:r>
          </w:p>
        </w:tc>
        <w:tc>
          <w:tcPr>
            <w:tcW w:w="1155" w:type="dxa"/>
            <w:tcBorders>
              <w:top w:val="nil"/>
              <w:left w:val="nil"/>
              <w:bottom w:val="single" w:color="auto" w:sz="4" w:space="0"/>
              <w:right w:val="single" w:color="auto" w:sz="4" w:space="0"/>
            </w:tcBorders>
            <w:noWrap/>
            <w:vAlign w:val="center"/>
          </w:tcPr>
          <w:p w14:paraId="18BDFF57">
            <w:pPr>
              <w:pStyle w:val="2"/>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IMCC6000</w:t>
            </w:r>
          </w:p>
        </w:tc>
        <w:tc>
          <w:tcPr>
            <w:tcW w:w="780" w:type="dxa"/>
            <w:tcBorders>
              <w:top w:val="nil"/>
              <w:left w:val="nil"/>
              <w:bottom w:val="single" w:color="auto" w:sz="4" w:space="0"/>
              <w:right w:val="single" w:color="auto" w:sz="4" w:space="0"/>
            </w:tcBorders>
            <w:noWrap/>
            <w:vAlign w:val="center"/>
          </w:tcPr>
          <w:p w14:paraId="5D4CFE7E">
            <w:pPr>
              <w:pStyle w:val="2"/>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4 台</w:t>
            </w:r>
          </w:p>
        </w:tc>
        <w:tc>
          <w:tcPr>
            <w:tcW w:w="1575" w:type="dxa"/>
            <w:tcBorders>
              <w:top w:val="nil"/>
              <w:left w:val="nil"/>
              <w:bottom w:val="single" w:color="auto" w:sz="4" w:space="0"/>
              <w:right w:val="single" w:color="auto" w:sz="4" w:space="0"/>
            </w:tcBorders>
            <w:noWrap/>
            <w:vAlign w:val="center"/>
          </w:tcPr>
          <w:p w14:paraId="018581A3">
            <w:pPr>
              <w:pStyle w:val="2"/>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380VAC 三相</w:t>
            </w:r>
          </w:p>
        </w:tc>
        <w:tc>
          <w:tcPr>
            <w:tcW w:w="1965" w:type="dxa"/>
            <w:tcBorders>
              <w:top w:val="nil"/>
              <w:left w:val="nil"/>
              <w:bottom w:val="single" w:color="auto" w:sz="4" w:space="0"/>
              <w:right w:val="single" w:color="auto" w:sz="4" w:space="0"/>
            </w:tcBorders>
            <w:noWrap/>
            <w:vAlign w:val="center"/>
          </w:tcPr>
          <w:p w14:paraId="579EF5BA">
            <w:pPr>
              <w:pStyle w:val="2"/>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上进线、上出线</w:t>
            </w:r>
          </w:p>
        </w:tc>
        <w:tc>
          <w:tcPr>
            <w:tcW w:w="1155" w:type="dxa"/>
            <w:tcBorders>
              <w:top w:val="nil"/>
              <w:left w:val="nil"/>
              <w:bottom w:val="single" w:color="auto" w:sz="4" w:space="0"/>
              <w:right w:val="single" w:color="auto" w:sz="4" w:space="0"/>
            </w:tcBorders>
            <w:noWrap/>
            <w:vAlign w:val="center"/>
          </w:tcPr>
          <w:p w14:paraId="086812EE">
            <w:pPr>
              <w:pStyle w:val="2"/>
              <w:keepNext w:val="0"/>
              <w:keepLines w:val="0"/>
              <w:pageBreakBefore w:val="0"/>
              <w:widowControl/>
              <w:kinsoku w:val="0"/>
              <w:wordWrap/>
              <w:overflowPunct/>
              <w:topLinePunct w:val="0"/>
              <w:autoSpaceDE/>
              <w:autoSpaceDN/>
              <w:bidi w:val="0"/>
              <w:adjustRightInd w:val="0"/>
              <w:snapToGrid w:val="0"/>
              <w:spacing w:line="360" w:lineRule="auto"/>
              <w:ind w:firstLine="0" w:firstLineChars="0"/>
              <w:jc w:val="center"/>
              <w:textAlignment w:val="baseline"/>
              <w:rPr>
                <w:rFonts w:hint="eastAsia" w:ascii="宋体" w:hAnsi="宋体" w:eastAsia="宋体" w:cs="宋体"/>
                <w:color w:val="auto"/>
                <w:sz w:val="21"/>
                <w:szCs w:val="21"/>
              </w:rPr>
            </w:pPr>
          </w:p>
        </w:tc>
      </w:tr>
    </w:tbl>
    <w:p w14:paraId="3C9F5D73">
      <w:pPr>
        <w:keepNext w:val="0"/>
        <w:keepLines w:val="0"/>
        <w:pageBreakBefore w:val="0"/>
        <w:widowControl/>
        <w:kinsoku w:val="0"/>
        <w:wordWrap/>
        <w:overflowPunct/>
        <w:topLinePunct w:val="0"/>
        <w:autoSpaceDE/>
        <w:autoSpaceDN/>
        <w:bidi w:val="0"/>
        <w:adjustRightInd w:val="0"/>
        <w:snapToGrid w:val="0"/>
        <w:spacing w:before="0" w:beforeLines="50"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柜体标准尺寸：高 2200mm× 宽 800mm× 深 1000mm</w:t>
      </w:r>
    </w:p>
    <w:p w14:paraId="081B7014">
      <w:pPr>
        <w:keepNext w:val="0"/>
        <w:keepLines w:val="0"/>
        <w:pageBreakBefore w:val="0"/>
        <w:widowControl/>
        <w:kinsoku w:val="0"/>
        <w:wordWrap/>
        <w:overflowPunct/>
        <w:topLinePunct w:val="0"/>
        <w:autoSpaceDE/>
        <w:autoSpaceDN/>
        <w:bidi w:val="0"/>
        <w:adjustRightInd w:val="0"/>
        <w:snapToGrid w:val="0"/>
        <w:spacing w:line="360" w:lineRule="auto"/>
        <w:textAlignment w:val="baseline"/>
        <w:rPr>
          <w:rFonts w:hint="eastAsia" w:ascii="仿宋" w:hAnsi="仿宋" w:eastAsia="仿宋" w:cs="仿宋"/>
          <w:b/>
          <w:sz w:val="30"/>
          <w:szCs w:val="30"/>
        </w:rPr>
      </w:pPr>
      <w:r>
        <w:rPr>
          <w:rFonts w:hint="eastAsia" w:ascii="仿宋" w:hAnsi="仿宋" w:eastAsia="仿宋" w:cs="仿宋"/>
          <w:b/>
          <w:sz w:val="30"/>
          <w:szCs w:val="30"/>
          <w:lang w:val="en-US" w:eastAsia="zh-CN"/>
        </w:rPr>
        <w:t>四</w:t>
      </w:r>
      <w:r>
        <w:rPr>
          <w:rFonts w:hint="eastAsia" w:ascii="仿宋" w:hAnsi="仿宋" w:eastAsia="仿宋" w:cs="仿宋"/>
          <w:b/>
          <w:sz w:val="30"/>
          <w:szCs w:val="30"/>
        </w:rPr>
        <w:t>、柜体结构与布局要求</w:t>
      </w:r>
    </w:p>
    <w:p w14:paraId="1596899C">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2.1 柜体整体结构</w:t>
      </w:r>
    </w:p>
    <w:p w14:paraId="198E3F07">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柜体整体钣金标准化加工，整体结构牢固，承重、抗变形满足煤矿室内长期运行环境，防护等级满足室内低压配电标准；</w:t>
      </w:r>
    </w:p>
    <w:p w14:paraId="72F7B858">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柜内、柜间主母线统一采用 80×10mm 铜母排，分色区分：黄（A 相）、绿（B 相）、红（C 相）、蓝（零线），成套厂家完成母排加工、绝缘包覆、柜内固定；合闸配套操作机构由乙方成套供货并预装至柜体对应位置；</w:t>
      </w:r>
    </w:p>
    <w:p w14:paraId="5FE60819">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柜体除甲方自行安装的电气元器件外，配齐全部连接板、固定支架、接线端子排、绝缘件、固定紧固件等全套安装附件；柜内预装16根纵向元器件固定连接横杆，满足各类开关、变频器、综保安装固定需求；</w:t>
      </w:r>
    </w:p>
    <w:p w14:paraId="09F208FB">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柜门配套全套操作手柄、门锁、状态指示灯安装底座、标识标牌安装位，所有钣金开孔、装配公差符合成套柜行业标准。</w:t>
      </w:r>
    </w:p>
    <w:p w14:paraId="06916392">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该配电柜的供电系统图如下，其上边缘制作四个贴纸，分别是原煤新增-02柜、原煤新增-03柜、原煤新增-04柜、原煤新增-05柜。</w:t>
      </w:r>
    </w:p>
    <w:p w14:paraId="52FA4E11">
      <w:pPr>
        <w:keepNext w:val="0"/>
        <w:keepLines w:val="0"/>
        <w:pageBreakBefore w:val="0"/>
        <w:widowControl/>
        <w:kinsoku w:val="0"/>
        <w:wordWrap/>
        <w:overflowPunct/>
        <w:topLinePunct w:val="0"/>
        <w:autoSpaceDE/>
        <w:autoSpaceDN/>
        <w:bidi w:val="0"/>
        <w:adjustRightInd w:val="0"/>
        <w:snapToGrid w:val="0"/>
        <w:spacing w:line="360" w:lineRule="auto"/>
        <w:ind w:left="-135" w:leftChars="-200" w:hanging="345" w:hangingChars="115"/>
        <w:textAlignment w:val="baseline"/>
        <w:rPr>
          <w:rFonts w:hint="eastAsia" w:ascii="仿宋" w:hAnsi="仿宋" w:eastAsia="仿宋" w:cs="仿宋"/>
          <w:sz w:val="30"/>
          <w:szCs w:val="30"/>
        </w:rPr>
      </w:pPr>
      <w:r>
        <w:rPr>
          <w:rFonts w:hint="eastAsia" w:ascii="仿宋" w:hAnsi="仿宋" w:eastAsia="仿宋" w:cs="仿宋"/>
          <w:sz w:val="30"/>
          <w:szCs w:val="30"/>
        </w:rPr>
        <w:drawing>
          <wp:inline distT="0" distB="0" distL="114300" distR="114300">
            <wp:extent cx="5896610" cy="2028190"/>
            <wp:effectExtent l="0" t="0" r="889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896610" cy="2028190"/>
                    </a:xfrm>
                    <a:prstGeom prst="rect">
                      <a:avLst/>
                    </a:prstGeom>
                    <a:noFill/>
                    <a:ln>
                      <a:noFill/>
                    </a:ln>
                  </pic:spPr>
                </pic:pic>
              </a:graphicData>
            </a:graphic>
          </wp:inline>
        </w:drawing>
      </w:r>
    </w:p>
    <w:p w14:paraId="0D92147F">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jc w:val="center"/>
        <w:textAlignment w:val="baseline"/>
        <w:rPr>
          <w:rFonts w:hint="eastAsia" w:ascii="仿宋" w:hAnsi="仿宋" w:eastAsia="仿宋" w:cs="仿宋"/>
          <w:sz w:val="30"/>
          <w:szCs w:val="30"/>
        </w:rPr>
      </w:pPr>
      <w:r>
        <w:rPr>
          <w:rFonts w:hint="eastAsia" w:ascii="仿宋" w:hAnsi="仿宋" w:eastAsia="仿宋" w:cs="仿宋"/>
          <w:sz w:val="30"/>
          <w:szCs w:val="30"/>
        </w:rPr>
        <w:t>新增配电柜的供电系统图</w:t>
      </w:r>
    </w:p>
    <w:p w14:paraId="321E14FE">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drawing>
          <wp:inline distT="0" distB="0" distL="114300" distR="114300">
            <wp:extent cx="4457700" cy="2877185"/>
            <wp:effectExtent l="0" t="0" r="0" b="184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4457700" cy="2877185"/>
                    </a:xfrm>
                    <a:prstGeom prst="rect">
                      <a:avLst/>
                    </a:prstGeom>
                    <a:noFill/>
                    <a:ln>
                      <a:noFill/>
                    </a:ln>
                  </pic:spPr>
                </pic:pic>
              </a:graphicData>
            </a:graphic>
          </wp:inline>
        </w:drawing>
      </w:r>
    </w:p>
    <w:p w14:paraId="7F8AE965">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jc w:val="center"/>
        <w:textAlignment w:val="baseline"/>
        <w:rPr>
          <w:rFonts w:hint="eastAsia" w:ascii="仿宋" w:hAnsi="仿宋" w:eastAsia="仿宋" w:cs="仿宋"/>
          <w:sz w:val="30"/>
          <w:szCs w:val="30"/>
        </w:rPr>
      </w:pPr>
      <w:r>
        <w:rPr>
          <w:rFonts w:hint="eastAsia" w:ascii="仿宋" w:hAnsi="仿宋" w:eastAsia="仿宋" w:cs="仿宋"/>
          <w:sz w:val="30"/>
          <w:szCs w:val="30"/>
        </w:rPr>
        <w:t>新增配电柜的布局图</w:t>
      </w:r>
    </w:p>
    <w:p w14:paraId="2A8741CB">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2.2 柜体门体布局规范</w:t>
      </w:r>
    </w:p>
    <w:p w14:paraId="58763D49">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柜体头部设置设备标识区，标识底板为蓝色、字体白色（蓝底白字），用于标注配电柜编号、供电区域；</w:t>
      </w:r>
    </w:p>
    <w:p w14:paraId="4C7BAEC6">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柜体正面分区：上部4个1.0E独立小抽屉门，下部通高3.0E 整体柜门；柜体背部为双开检修门</w:t>
      </w:r>
      <w:r>
        <w:rPr>
          <w:rFonts w:hint="eastAsia" w:ascii="仿宋" w:hAnsi="仿宋" w:eastAsia="仿宋" w:cs="仿宋"/>
          <w:sz w:val="30"/>
          <w:szCs w:val="30"/>
          <w:lang w:eastAsia="zh-CN"/>
        </w:rPr>
        <w:t>，</w:t>
      </w:r>
      <w:r>
        <w:rPr>
          <w:rFonts w:hint="eastAsia" w:ascii="仿宋" w:hAnsi="仿宋" w:eastAsia="仿宋" w:cs="仿宋"/>
          <w:sz w:val="30"/>
          <w:szCs w:val="30"/>
        </w:rPr>
        <w:t>方便柜后母线、电缆检修；</w:t>
      </w:r>
    </w:p>
    <w:p w14:paraId="44374B6B">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上部4扇1.0E抽屉小门面板居中开孔，每扇门配置标准规格指示灯开孔（虚线定位红色圆圈基准孔），每台抽屉配套1个AC220V红色运行指示灯，乙方预装指示灯底座及接线端子；</w:t>
      </w:r>
    </w:p>
    <w:p w14:paraId="755619B0">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柜门钣金尺寸、折边、密封由成套厂家结合柜体尺寸微调优化，保证柜门关闭严密、无变形、门锁启闭顺畅。</w:t>
      </w:r>
    </w:p>
    <w:p w14:paraId="73FC7022">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2.3 柜内控制回路预制配置</w:t>
      </w:r>
    </w:p>
    <w:p w14:paraId="3F577023">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柜体内部统一预制控制接线区域，成套配齐以下配件：</w:t>
      </w:r>
    </w:p>
    <w:p w14:paraId="6C7CEA33">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接线端子4组，每组20片，端子适配2.5mm²线缆，带标识隔板、紧固螺栓；</w:t>
      </w:r>
    </w:p>
    <w:p w14:paraId="14B51DF1">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配套控制走线线槽、线卡、绑扎固定件，预留控制电缆进出通道。</w:t>
      </w:r>
    </w:p>
    <w:p w14:paraId="68824E9E">
      <w:pPr>
        <w:keepNext w:val="0"/>
        <w:keepLines w:val="0"/>
        <w:pageBreakBefore w:val="0"/>
        <w:widowControl/>
        <w:kinsoku w:val="0"/>
        <w:wordWrap/>
        <w:overflowPunct/>
        <w:topLinePunct w:val="0"/>
        <w:autoSpaceDE/>
        <w:autoSpaceDN/>
        <w:bidi w:val="0"/>
        <w:adjustRightInd w:val="0"/>
        <w:snapToGrid w:val="0"/>
        <w:spacing w:line="360" w:lineRule="auto"/>
        <w:textAlignment w:val="baseline"/>
        <w:rPr>
          <w:rFonts w:hint="eastAsia" w:ascii="仿宋" w:hAnsi="仿宋" w:eastAsia="仿宋" w:cs="仿宋"/>
          <w:b/>
          <w:sz w:val="30"/>
          <w:szCs w:val="30"/>
        </w:rPr>
      </w:pPr>
      <w:r>
        <w:rPr>
          <w:rFonts w:hint="eastAsia" w:ascii="仿宋" w:hAnsi="仿宋" w:eastAsia="仿宋" w:cs="仿宋"/>
          <w:b/>
          <w:sz w:val="30"/>
          <w:szCs w:val="30"/>
        </w:rPr>
        <w:t>五、加工、</w:t>
      </w:r>
      <w:r>
        <w:rPr>
          <w:rFonts w:hint="eastAsia" w:ascii="仿宋" w:hAnsi="仿宋" w:eastAsia="仿宋" w:cs="仿宋"/>
          <w:b/>
          <w:sz w:val="30"/>
          <w:szCs w:val="30"/>
          <w:lang w:val="en-US" w:eastAsia="zh-CN"/>
        </w:rPr>
        <w:t>运输</w:t>
      </w:r>
      <w:r>
        <w:rPr>
          <w:rFonts w:hint="eastAsia" w:ascii="仿宋" w:hAnsi="仿宋" w:eastAsia="仿宋" w:cs="仿宋"/>
          <w:b/>
          <w:sz w:val="30"/>
          <w:szCs w:val="30"/>
        </w:rPr>
        <w:t>与现场服务要求</w:t>
      </w:r>
    </w:p>
    <w:p w14:paraId="41DAE037">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厂家严格按照本方案尺寸、布局、配件清单加工柜体，出厂前完成全部开孔、母排预装、控制回路配件固定，确保甲方到场后可直接安装自有元器件；</w:t>
      </w:r>
    </w:p>
    <w:p w14:paraId="30F826D7">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柜体出厂前逐台自检：尺寸复核、母排通断绝缘、柜门启闭、指示灯开孔、端子及空开装配完整性，出具出厂自检记录随货移交甲方；</w:t>
      </w:r>
    </w:p>
    <w:p w14:paraId="0535B4F1">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highlight w:val="none"/>
        </w:rPr>
      </w:pPr>
      <w:r>
        <w:rPr>
          <w:rFonts w:hint="eastAsia" w:ascii="仿宋" w:hAnsi="仿宋" w:eastAsia="仿宋" w:cs="仿宋"/>
          <w:sz w:val="30"/>
          <w:szCs w:val="30"/>
          <w:highlight w:val="none"/>
        </w:rPr>
        <w:t>柜体出厂防护包装、运输、送货至顺和煤矿指定卸货点位；</w:t>
      </w:r>
    </w:p>
    <w:p w14:paraId="434971A2">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配电柜安装位置由甲方现场指定，柜体送货到场后乙方配合矿方核对外形尺寸、进出线空间；若现场土建、电缆通道与柜体存在冲突，乙方第一时间与甲方机电管理人员沟通优化调整；</w:t>
      </w:r>
    </w:p>
    <w:p w14:paraId="6463E418">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供货包含全套运输费用，货物送达矿内指定区域，卸货过程柜体磕碰、变形、钣金损坏全部由乙方负责更换修复。</w:t>
      </w:r>
    </w:p>
    <w:p w14:paraId="52B2A980">
      <w:pPr>
        <w:keepNext w:val="0"/>
        <w:keepLines w:val="0"/>
        <w:pageBreakBefore w:val="0"/>
        <w:widowControl/>
        <w:kinsoku w:val="0"/>
        <w:wordWrap/>
        <w:overflowPunct/>
        <w:topLinePunct w:val="0"/>
        <w:autoSpaceDE/>
        <w:autoSpaceDN/>
        <w:bidi w:val="0"/>
        <w:adjustRightInd w:val="0"/>
        <w:snapToGrid w:val="0"/>
        <w:spacing w:line="360" w:lineRule="auto"/>
        <w:textAlignment w:val="baseline"/>
        <w:rPr>
          <w:rFonts w:hint="eastAsia" w:ascii="仿宋" w:hAnsi="仿宋" w:eastAsia="仿宋" w:cs="仿宋"/>
          <w:b/>
          <w:sz w:val="30"/>
          <w:szCs w:val="30"/>
        </w:rPr>
      </w:pPr>
      <w:r>
        <w:rPr>
          <w:rFonts w:hint="eastAsia" w:ascii="仿宋" w:hAnsi="仿宋" w:eastAsia="仿宋" w:cs="仿宋"/>
          <w:b/>
          <w:sz w:val="30"/>
          <w:szCs w:val="30"/>
          <w:lang w:val="en-US" w:eastAsia="zh-CN"/>
        </w:rPr>
        <w:t>六</w:t>
      </w:r>
      <w:r>
        <w:rPr>
          <w:rFonts w:hint="eastAsia" w:ascii="仿宋" w:hAnsi="仿宋" w:eastAsia="仿宋" w:cs="仿宋"/>
          <w:b/>
          <w:sz w:val="30"/>
          <w:szCs w:val="30"/>
        </w:rPr>
        <w:t>、技术规范、验收标准</w:t>
      </w:r>
    </w:p>
    <w:p w14:paraId="57F60F36">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lang w:val="en-US" w:eastAsia="zh-CN"/>
        </w:rPr>
        <w:t>1、</w:t>
      </w:r>
      <w:r>
        <w:rPr>
          <w:rFonts w:hint="eastAsia" w:ascii="仿宋" w:hAnsi="仿宋" w:eastAsia="仿宋" w:cs="仿宋"/>
          <w:sz w:val="30"/>
          <w:szCs w:val="30"/>
        </w:rPr>
        <w:t>加工制造标准</w:t>
      </w:r>
    </w:p>
    <w:p w14:paraId="373B61A5">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柜体钣金、低压成套母线、布线执行GB725</w:t>
      </w:r>
      <w:r>
        <w:rPr>
          <w:rFonts w:hint="eastAsia" w:ascii="仿宋" w:hAnsi="仿宋" w:eastAsia="仿宋" w:cs="仿宋"/>
          <w:sz w:val="30"/>
          <w:szCs w:val="30"/>
          <w:lang w:val="en-US" w:eastAsia="zh-CN"/>
        </w:rPr>
        <w:t>1</w:t>
      </w:r>
      <w:r>
        <w:rPr>
          <w:rFonts w:hint="eastAsia" w:ascii="仿宋" w:hAnsi="仿宋" w:eastAsia="仿宋" w:cs="仿宋"/>
          <w:sz w:val="30"/>
          <w:szCs w:val="30"/>
        </w:rPr>
        <w:t>系列低压成套开关设备和控制设备国家标准，母排搭接处镀锡处理，绝缘件阻燃耐电弧，柜体可靠接地。</w:t>
      </w:r>
    </w:p>
    <w:p w14:paraId="5F147D6E">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lang w:val="en-US" w:eastAsia="zh-CN"/>
        </w:rPr>
        <w:t>2、</w:t>
      </w:r>
      <w:r>
        <w:rPr>
          <w:rFonts w:hint="eastAsia" w:ascii="仿宋" w:hAnsi="仿宋" w:eastAsia="仿宋" w:cs="仿宋"/>
          <w:sz w:val="30"/>
          <w:szCs w:val="30"/>
        </w:rPr>
        <w:t>分阶段验收流程</w:t>
      </w:r>
    </w:p>
    <w:p w14:paraId="51844F89">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lang w:eastAsia="zh-CN"/>
        </w:rPr>
      </w:pPr>
      <w:r>
        <w:rPr>
          <w:rFonts w:hint="eastAsia" w:ascii="仿宋" w:hAnsi="仿宋" w:eastAsia="仿宋" w:cs="仿宋"/>
          <w:sz w:val="30"/>
          <w:szCs w:val="30"/>
        </w:rPr>
        <w:t>到货外观验收：</w:t>
      </w:r>
      <w:r>
        <w:rPr>
          <w:rFonts w:hint="eastAsia" w:ascii="仿宋" w:hAnsi="仿宋" w:eastAsia="仿宋" w:cs="仿宋"/>
          <w:sz w:val="30"/>
          <w:szCs w:val="30"/>
          <w:lang w:val="en-US" w:eastAsia="zh-CN"/>
        </w:rPr>
        <w:t>按加工制造标准及本技术要求进行验收，要求</w:t>
      </w:r>
      <w:r>
        <w:rPr>
          <w:rFonts w:hint="eastAsia" w:ascii="仿宋" w:hAnsi="仿宋" w:eastAsia="仿宋" w:cs="仿宋"/>
          <w:sz w:val="30"/>
          <w:szCs w:val="30"/>
        </w:rPr>
        <w:t>柜体无变形、漆面完好，所有配套附件、指示灯、空开、端子齐全，母排无划伤</w:t>
      </w:r>
      <w:r>
        <w:rPr>
          <w:rFonts w:hint="eastAsia" w:ascii="仿宋" w:hAnsi="仿宋" w:eastAsia="仿宋" w:cs="仿宋"/>
          <w:sz w:val="30"/>
          <w:szCs w:val="30"/>
          <w:lang w:eastAsia="zh-CN"/>
        </w:rPr>
        <w:t>。</w:t>
      </w:r>
    </w:p>
    <w:p w14:paraId="31E6041E">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现场就位验收：柜体摆放到位后，核对门体布局、抽屉开孔、内部固定横杆、后侧控制回路组件，全部符合方案要求即为验收合格。</w:t>
      </w:r>
    </w:p>
    <w:p w14:paraId="7B390575">
      <w:pPr>
        <w:keepNext w:val="0"/>
        <w:keepLines w:val="0"/>
        <w:pageBreakBefore w:val="0"/>
        <w:widowControl w:val="0"/>
        <w:tabs>
          <w:tab w:val="left" w:pos="0"/>
        </w:tabs>
        <w:kinsoku/>
        <w:wordWrap/>
        <w:overflowPunct/>
        <w:topLinePunct w:val="0"/>
        <w:autoSpaceDE/>
        <w:autoSpaceDN/>
        <w:bidi w:val="0"/>
        <w:adjustRightInd/>
        <w:snapToGrid w:val="0"/>
        <w:spacing w:line="360" w:lineRule="auto"/>
        <w:jc w:val="left"/>
        <w:textAlignment w:val="auto"/>
        <w:rPr>
          <w:rFonts w:hint="eastAsia" w:ascii="仿宋" w:hAnsi="仿宋" w:eastAsia="仿宋" w:cs="仿宋"/>
          <w:b/>
          <w:sz w:val="30"/>
          <w:szCs w:val="30"/>
        </w:rPr>
      </w:pPr>
      <w:r>
        <w:rPr>
          <w:rFonts w:hint="eastAsia" w:ascii="仿宋" w:hAnsi="仿宋" w:eastAsia="仿宋" w:cs="仿宋"/>
          <w:b/>
          <w:sz w:val="30"/>
          <w:szCs w:val="30"/>
          <w:lang w:val="en-US" w:eastAsia="zh-CN"/>
        </w:rPr>
        <w:t>七</w:t>
      </w:r>
      <w:r>
        <w:rPr>
          <w:rFonts w:hint="eastAsia" w:ascii="仿宋" w:hAnsi="仿宋" w:eastAsia="仿宋" w:cs="仿宋"/>
          <w:b/>
          <w:sz w:val="30"/>
          <w:szCs w:val="30"/>
        </w:rPr>
        <w:t>、供应商须提供技术资料要求</w:t>
      </w:r>
    </w:p>
    <w:p w14:paraId="57C8B03A">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lang w:val="en-US" w:eastAsia="zh-CN"/>
        </w:rPr>
        <w:t>送货时同步</w:t>
      </w:r>
      <w:r>
        <w:rPr>
          <w:rFonts w:hint="eastAsia" w:ascii="仿宋" w:hAnsi="仿宋" w:eastAsia="仿宋" w:cs="仿宋"/>
          <w:sz w:val="30"/>
          <w:szCs w:val="30"/>
        </w:rPr>
        <w:t>提供：柜体外形尺寸图、母排布置图、端子接线示意图、出厂检测清单、产品合格证。</w:t>
      </w:r>
    </w:p>
    <w:p w14:paraId="40AED04C">
      <w:pPr>
        <w:keepNext w:val="0"/>
        <w:keepLines w:val="0"/>
        <w:pageBreakBefore w:val="0"/>
        <w:widowControl/>
        <w:numPr>
          <w:ilvl w:val="0"/>
          <w:numId w:val="1"/>
        </w:numPr>
        <w:kinsoku w:val="0"/>
        <w:wordWrap/>
        <w:overflowPunct/>
        <w:topLinePunct w:val="0"/>
        <w:autoSpaceDE/>
        <w:autoSpaceDN/>
        <w:bidi w:val="0"/>
        <w:adjustRightInd w:val="0"/>
        <w:snapToGrid w:val="0"/>
        <w:spacing w:line="360" w:lineRule="auto"/>
        <w:textAlignment w:val="baseline"/>
        <w:rPr>
          <w:rFonts w:hint="eastAsia" w:ascii="仿宋" w:hAnsi="仿宋" w:eastAsia="仿宋" w:cs="仿宋"/>
          <w:b/>
          <w:sz w:val="30"/>
          <w:szCs w:val="30"/>
          <w:lang w:val="en-US" w:eastAsia="zh-CN"/>
        </w:rPr>
      </w:pPr>
      <w:r>
        <w:rPr>
          <w:rFonts w:hint="eastAsia" w:ascii="仿宋" w:hAnsi="仿宋" w:eastAsia="仿宋" w:cs="仿宋"/>
          <w:b/>
          <w:sz w:val="30"/>
          <w:szCs w:val="30"/>
          <w:lang w:val="en-US" w:eastAsia="zh-CN"/>
        </w:rPr>
        <w:t>质保要求</w:t>
      </w:r>
    </w:p>
    <w:p w14:paraId="075F9EC3">
      <w:pPr>
        <w:keepNext w:val="0"/>
        <w:keepLines w:val="0"/>
        <w:pageBreakBefore w:val="0"/>
        <w:widowControl/>
        <w:kinsoku w:val="0"/>
        <w:wordWrap/>
        <w:overflowPunct/>
        <w:topLinePunct w:val="0"/>
        <w:autoSpaceDE/>
        <w:autoSpaceDN/>
        <w:bidi w:val="0"/>
        <w:adjustRightInd w:val="0"/>
        <w:snapToGrid w:val="0"/>
        <w:spacing w:line="360" w:lineRule="auto"/>
        <w:ind w:firstLine="600" w:firstLineChars="200"/>
        <w:textAlignment w:val="baseline"/>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质保期为产品安装后验收合格之日起12个月，或者货到现场满24个月，以先满足条件者为准。在质保期内，非人为因素造成损坏由出卖人无偿负责，出现任何质量问题，出卖人负责更换或者维修。</w:t>
      </w:r>
    </w:p>
    <w:p w14:paraId="5850FEA5">
      <w:pPr>
        <w:keepNext w:val="0"/>
        <w:keepLines w:val="0"/>
        <w:pageBreakBefore w:val="0"/>
        <w:widowControl/>
        <w:numPr>
          <w:ilvl w:val="0"/>
          <w:numId w:val="0"/>
        </w:numPr>
        <w:kinsoku w:val="0"/>
        <w:wordWrap/>
        <w:overflowPunct/>
        <w:topLinePunct w:val="0"/>
        <w:autoSpaceDE/>
        <w:autoSpaceDN/>
        <w:bidi w:val="0"/>
        <w:adjustRightInd w:val="0"/>
        <w:snapToGrid w:val="0"/>
        <w:spacing w:line="360" w:lineRule="auto"/>
        <w:textAlignment w:val="baseline"/>
        <w:rPr>
          <w:rFonts w:hint="eastAsia" w:ascii="仿宋" w:hAnsi="仿宋" w:eastAsia="仿宋" w:cs="仿宋"/>
          <w:b/>
          <w:sz w:val="30"/>
          <w:szCs w:val="30"/>
        </w:rPr>
      </w:pPr>
      <w:r>
        <w:rPr>
          <w:rFonts w:hint="eastAsia" w:ascii="仿宋" w:hAnsi="仿宋" w:eastAsia="仿宋" w:cs="仿宋"/>
          <w:b/>
          <w:sz w:val="30"/>
          <w:szCs w:val="30"/>
          <w:lang w:val="en-US" w:eastAsia="zh-CN"/>
        </w:rPr>
        <w:t>九、</w:t>
      </w:r>
      <w:r>
        <w:rPr>
          <w:rFonts w:hint="eastAsia" w:ascii="仿宋" w:hAnsi="仿宋" w:eastAsia="仿宋" w:cs="仿宋"/>
          <w:b/>
          <w:sz w:val="30"/>
          <w:szCs w:val="30"/>
        </w:rPr>
        <w:t>其他约定</w:t>
      </w:r>
    </w:p>
    <w:p w14:paraId="6D26F154">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600" w:firstLineChars="200"/>
        <w:jc w:val="left"/>
        <w:textAlignment w:val="auto"/>
        <w:rPr>
          <w:rFonts w:hint="eastAsia" w:ascii="仿宋" w:hAnsi="仿宋" w:eastAsia="仿宋" w:cs="仿宋"/>
          <w:sz w:val="30"/>
          <w:szCs w:val="30"/>
        </w:rPr>
      </w:pPr>
      <w:r>
        <w:rPr>
          <w:rFonts w:hint="eastAsia" w:ascii="仿宋" w:hAnsi="仿宋" w:eastAsia="仿宋" w:cs="仿宋"/>
          <w:sz w:val="30"/>
          <w:szCs w:val="30"/>
        </w:rPr>
        <w:t>1、</w:t>
      </w:r>
      <w:r>
        <w:rPr>
          <w:rFonts w:hint="eastAsia" w:ascii="仿宋" w:hAnsi="仿宋" w:eastAsia="仿宋" w:cs="仿宋"/>
          <w:sz w:val="30"/>
          <w:szCs w:val="30"/>
          <w:lang w:val="en-US" w:eastAsia="zh-CN"/>
        </w:rPr>
        <w:t>交</w:t>
      </w:r>
      <w:r>
        <w:rPr>
          <w:rFonts w:hint="eastAsia" w:ascii="仿宋" w:hAnsi="仿宋" w:eastAsia="仿宋" w:cs="仿宋"/>
          <w:sz w:val="30"/>
          <w:szCs w:val="30"/>
        </w:rPr>
        <w:t>货日期：</w:t>
      </w:r>
      <w:r>
        <w:rPr>
          <w:rFonts w:hint="eastAsia" w:ascii="仿宋" w:hAnsi="仿宋" w:eastAsia="仿宋" w:cs="仿宋"/>
          <w:sz w:val="30"/>
          <w:szCs w:val="30"/>
          <w:lang w:val="en-US" w:eastAsia="zh-CN"/>
        </w:rPr>
        <w:t>交货期为合同签订后接通知90天内</w:t>
      </w:r>
      <w:r>
        <w:rPr>
          <w:rFonts w:hint="eastAsia" w:ascii="仿宋" w:hAnsi="仿宋" w:eastAsia="仿宋" w:cs="仿宋"/>
          <w:sz w:val="30"/>
          <w:szCs w:val="30"/>
        </w:rPr>
        <w:t>。送货地址为永煤集团股份有限公司顺和煤矿选煤厂。</w:t>
      </w:r>
    </w:p>
    <w:p w14:paraId="2BE3443A">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600" w:firstLineChars="200"/>
        <w:jc w:val="lef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2</w:t>
      </w:r>
      <w:r>
        <w:rPr>
          <w:rFonts w:hint="eastAsia" w:ascii="仿宋" w:hAnsi="仿宋" w:eastAsia="仿宋" w:cs="仿宋"/>
          <w:sz w:val="30"/>
          <w:szCs w:val="30"/>
        </w:rPr>
        <w:t>、本规格书提出的是最低限度的技术要求，并未对一切技术细节做出规定，也未充分引述有关标准和规范条文，出卖人保证提供符合本技术规格书和有关最新工业标准的成熟优质产品。</w:t>
      </w:r>
    </w:p>
    <w:p w14:paraId="30189E5A">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600" w:firstLineChars="200"/>
        <w:jc w:val="left"/>
        <w:textAlignment w:val="auto"/>
        <w:rPr>
          <w:rFonts w:hint="eastAsia" w:ascii="仿宋" w:hAnsi="仿宋" w:eastAsia="仿宋" w:cs="仿宋"/>
          <w:sz w:val="30"/>
          <w:szCs w:val="30"/>
          <w:lang w:val="en-US" w:bidi="ar-SA"/>
        </w:rPr>
      </w:pPr>
      <w:r>
        <w:rPr>
          <w:rFonts w:hint="eastAsia" w:ascii="仿宋" w:hAnsi="仿宋" w:eastAsia="仿宋" w:cs="仿宋"/>
          <w:sz w:val="30"/>
          <w:szCs w:val="30"/>
          <w:lang w:val="en-US" w:eastAsia="zh-CN"/>
        </w:rPr>
        <w:t>3</w:t>
      </w:r>
      <w:r>
        <w:rPr>
          <w:rFonts w:hint="eastAsia" w:ascii="仿宋" w:hAnsi="仿宋" w:eastAsia="仿宋" w:cs="仿宋"/>
          <w:sz w:val="30"/>
          <w:szCs w:val="30"/>
        </w:rPr>
        <w:t>、</w:t>
      </w:r>
      <w:r>
        <w:rPr>
          <w:rFonts w:hint="eastAsia" w:ascii="仿宋" w:hAnsi="仿宋" w:eastAsia="仿宋" w:cs="仿宋"/>
          <w:sz w:val="30"/>
          <w:szCs w:val="30"/>
          <w:lang w:val="en-US" w:eastAsia="zh-CN"/>
        </w:rPr>
        <w:t>如代理商参与投标需提供代理授权书</w:t>
      </w:r>
      <w:r>
        <w:rPr>
          <w:rFonts w:hint="eastAsia" w:ascii="仿宋" w:hAnsi="仿宋" w:eastAsia="仿宋" w:cs="仿宋"/>
          <w:sz w:val="30"/>
          <w:szCs w:val="30"/>
        </w:rPr>
        <w:t>。</w:t>
      </w:r>
    </w:p>
    <w:p w14:paraId="3E104FFB">
      <w:pPr>
        <w:keepNext w:val="0"/>
        <w:keepLines w:val="0"/>
        <w:pageBreakBefore w:val="0"/>
        <w:widowControl/>
        <w:kinsoku w:val="0"/>
        <w:wordWrap/>
        <w:overflowPunct/>
        <w:topLinePunct w:val="0"/>
        <w:autoSpaceDE/>
        <w:autoSpaceDN/>
        <w:bidi w:val="0"/>
        <w:adjustRightInd w:val="0"/>
        <w:snapToGrid w:val="0"/>
        <w:spacing w:line="360" w:lineRule="auto"/>
        <w:ind w:firstLine="560" w:firstLineChars="200"/>
        <w:textAlignment w:val="baseline"/>
        <w:rPr>
          <w:rFonts w:hint="eastAsia" w:ascii="宋体" w:hAnsi="宋体" w:eastAsia="宋体" w:cs="宋体"/>
          <w:color w:val="auto"/>
          <w:sz w:val="28"/>
          <w:szCs w:val="28"/>
          <w:lang w:eastAsia="zh-CN"/>
        </w:rPr>
      </w:pPr>
    </w:p>
    <w:p w14:paraId="398F965E">
      <w:pPr>
        <w:pStyle w:val="2"/>
        <w:rPr>
          <w:rFonts w:hint="default"/>
          <w:lang w:val="en-US" w:eastAsia="zh-CN"/>
        </w:rPr>
      </w:pPr>
      <w:r>
        <w:rPr>
          <w:rFonts w:hint="eastAsia" w:ascii="宋体" w:hAnsi="宋体" w:cs="宋体"/>
          <w:color w:val="auto"/>
          <w:sz w:val="28"/>
          <w:szCs w:val="28"/>
          <w:lang w:val="en-US" w:eastAsia="zh-CN"/>
        </w:rPr>
        <w:t xml:space="preserve">联系人：谢冲 18937073923 </w:t>
      </w:r>
    </w:p>
    <w:sectPr>
      <w:headerReference r:id="rId3" w:type="default"/>
      <w:footerReference r:id="rId4" w:type="default"/>
      <w:pgSz w:w="11910" w:h="16840"/>
      <w:pgMar w:top="1048" w:right="1770" w:bottom="1241" w:left="1779" w:header="828" w:footer="979" w:gutter="0"/>
      <w:pgNumType w:start="1"/>
      <w:cols w:space="720" w:num="1"/>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DE">
      <wne:acd wne:acdName="acd2"/>
    </wne:keymap>
  </wne:keymaps>
  <wne:acds>
    <wne:acd wne:argValue="AQAAAAEA" wne:acdName="acd0" wne:fciIndexBasedOn="0065"/>
    <wne:acd wne:argValue="AQAAAAIA" wne:acdName="acd1" wne:fciIndexBasedOn="0065"/>
    <wne:acd wne:argValue="AQAAAEIA" wne:acdName="acd2"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AF20B">
    <w:pPr>
      <w:spacing w:line="219" w:lineRule="auto"/>
      <w:ind w:left="3530"/>
      <w:rPr>
        <w:rFonts w:ascii="宋体"/>
        <w:sz w:val="22"/>
        <w:szCs w:val="22"/>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EA09D2E">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7EA09D2E">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98C23">
    <w:pPr>
      <w:spacing w:before="1" w:line="184" w:lineRule="auto"/>
      <w:ind w:left="110"/>
      <w:rPr>
        <w:rFonts w:ascii="宋体"/>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A8B581"/>
    <w:multiLevelType w:val="singleLevel"/>
    <w:tmpl w:val="17A8B581"/>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gt;?]}¢¨°·ˇˉ―‖’”…‰′″›℃∶、。〃〉》」』】〕〗〞︶︺︾﹀﹄﹚﹜﹞！＂％＇），．：；？］｀｜｝～￠"/>
  <w:compat>
    <w:spaceForUL/>
    <w:balanceSingleByteDoubleByteWidth/>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4YzlmN2VhNzg2YmIyMzg2ZDg0ZDY3MWIzMjIxMTMifQ=="/>
  </w:docVars>
  <w:rsids>
    <w:rsidRoot w:val="0089783F"/>
    <w:rsid w:val="0000219E"/>
    <w:rsid w:val="0002251E"/>
    <w:rsid w:val="000255F6"/>
    <w:rsid w:val="000428CA"/>
    <w:rsid w:val="00045CF7"/>
    <w:rsid w:val="0005596B"/>
    <w:rsid w:val="00056F6D"/>
    <w:rsid w:val="00067E63"/>
    <w:rsid w:val="00074401"/>
    <w:rsid w:val="00086DA2"/>
    <w:rsid w:val="00087C5F"/>
    <w:rsid w:val="0009453C"/>
    <w:rsid w:val="00095326"/>
    <w:rsid w:val="00097DF6"/>
    <w:rsid w:val="000A6F1F"/>
    <w:rsid w:val="000C3954"/>
    <w:rsid w:val="000D4B1B"/>
    <w:rsid w:val="000E3955"/>
    <w:rsid w:val="000E3FFA"/>
    <w:rsid w:val="000E4DE0"/>
    <w:rsid w:val="000F5286"/>
    <w:rsid w:val="0010041A"/>
    <w:rsid w:val="001015D1"/>
    <w:rsid w:val="00112EDB"/>
    <w:rsid w:val="00122231"/>
    <w:rsid w:val="00134A00"/>
    <w:rsid w:val="00137009"/>
    <w:rsid w:val="001459F4"/>
    <w:rsid w:val="00154E30"/>
    <w:rsid w:val="00155A90"/>
    <w:rsid w:val="001560FB"/>
    <w:rsid w:val="0016526F"/>
    <w:rsid w:val="001925F2"/>
    <w:rsid w:val="001A2660"/>
    <w:rsid w:val="001A3BDB"/>
    <w:rsid w:val="001A4D64"/>
    <w:rsid w:val="001B269B"/>
    <w:rsid w:val="001B3E15"/>
    <w:rsid w:val="001B7C0D"/>
    <w:rsid w:val="001C0D7C"/>
    <w:rsid w:val="001E3CB9"/>
    <w:rsid w:val="001F3ADA"/>
    <w:rsid w:val="001F6714"/>
    <w:rsid w:val="00204F25"/>
    <w:rsid w:val="00226124"/>
    <w:rsid w:val="00230ADF"/>
    <w:rsid w:val="00237C96"/>
    <w:rsid w:val="002432DD"/>
    <w:rsid w:val="00250C77"/>
    <w:rsid w:val="0028554D"/>
    <w:rsid w:val="00290E5E"/>
    <w:rsid w:val="00292DA2"/>
    <w:rsid w:val="00295668"/>
    <w:rsid w:val="00296730"/>
    <w:rsid w:val="002A4249"/>
    <w:rsid w:val="002E03F1"/>
    <w:rsid w:val="002E0A43"/>
    <w:rsid w:val="002E7B8C"/>
    <w:rsid w:val="002F366A"/>
    <w:rsid w:val="002F43FA"/>
    <w:rsid w:val="00305006"/>
    <w:rsid w:val="003104E8"/>
    <w:rsid w:val="003327DB"/>
    <w:rsid w:val="003453E6"/>
    <w:rsid w:val="00352F96"/>
    <w:rsid w:val="0036643D"/>
    <w:rsid w:val="00366C22"/>
    <w:rsid w:val="00390C30"/>
    <w:rsid w:val="00397BD1"/>
    <w:rsid w:val="003A760E"/>
    <w:rsid w:val="003C0CD5"/>
    <w:rsid w:val="003C1BD5"/>
    <w:rsid w:val="003C1D48"/>
    <w:rsid w:val="003D14D2"/>
    <w:rsid w:val="003D386E"/>
    <w:rsid w:val="0040105F"/>
    <w:rsid w:val="004377BA"/>
    <w:rsid w:val="00441783"/>
    <w:rsid w:val="0044606F"/>
    <w:rsid w:val="00475532"/>
    <w:rsid w:val="00475652"/>
    <w:rsid w:val="004801B1"/>
    <w:rsid w:val="004937E0"/>
    <w:rsid w:val="00496876"/>
    <w:rsid w:val="00496DA9"/>
    <w:rsid w:val="004B48FC"/>
    <w:rsid w:val="004B593E"/>
    <w:rsid w:val="004C4B8C"/>
    <w:rsid w:val="004D40CE"/>
    <w:rsid w:val="004E1EC2"/>
    <w:rsid w:val="004E25D3"/>
    <w:rsid w:val="004F148F"/>
    <w:rsid w:val="005067A2"/>
    <w:rsid w:val="005125D4"/>
    <w:rsid w:val="00513AFD"/>
    <w:rsid w:val="0051737B"/>
    <w:rsid w:val="00527313"/>
    <w:rsid w:val="005332F6"/>
    <w:rsid w:val="005344E4"/>
    <w:rsid w:val="00543924"/>
    <w:rsid w:val="0056372D"/>
    <w:rsid w:val="00584A8C"/>
    <w:rsid w:val="00597031"/>
    <w:rsid w:val="005A388D"/>
    <w:rsid w:val="005A5C99"/>
    <w:rsid w:val="005C347A"/>
    <w:rsid w:val="005C3FE9"/>
    <w:rsid w:val="005C64A2"/>
    <w:rsid w:val="005D1316"/>
    <w:rsid w:val="005D1702"/>
    <w:rsid w:val="005D3C63"/>
    <w:rsid w:val="005E1204"/>
    <w:rsid w:val="005F5121"/>
    <w:rsid w:val="005F693F"/>
    <w:rsid w:val="00601F31"/>
    <w:rsid w:val="0060255E"/>
    <w:rsid w:val="00602D90"/>
    <w:rsid w:val="00607252"/>
    <w:rsid w:val="00632388"/>
    <w:rsid w:val="00643616"/>
    <w:rsid w:val="0065388E"/>
    <w:rsid w:val="00654AD8"/>
    <w:rsid w:val="00667758"/>
    <w:rsid w:val="00672858"/>
    <w:rsid w:val="00682071"/>
    <w:rsid w:val="00683393"/>
    <w:rsid w:val="00686684"/>
    <w:rsid w:val="00691C38"/>
    <w:rsid w:val="00693CC1"/>
    <w:rsid w:val="006A7927"/>
    <w:rsid w:val="006B5558"/>
    <w:rsid w:val="006E6695"/>
    <w:rsid w:val="006F1758"/>
    <w:rsid w:val="006F5991"/>
    <w:rsid w:val="00715DBD"/>
    <w:rsid w:val="007200AE"/>
    <w:rsid w:val="00721B0F"/>
    <w:rsid w:val="0072498C"/>
    <w:rsid w:val="00734634"/>
    <w:rsid w:val="00736C14"/>
    <w:rsid w:val="0074065C"/>
    <w:rsid w:val="0074255C"/>
    <w:rsid w:val="00747AE0"/>
    <w:rsid w:val="007502D9"/>
    <w:rsid w:val="00750930"/>
    <w:rsid w:val="007524BB"/>
    <w:rsid w:val="0077642E"/>
    <w:rsid w:val="00793EF9"/>
    <w:rsid w:val="00794B53"/>
    <w:rsid w:val="00797ED5"/>
    <w:rsid w:val="007A6CD1"/>
    <w:rsid w:val="007D506B"/>
    <w:rsid w:val="007D7984"/>
    <w:rsid w:val="007E67B9"/>
    <w:rsid w:val="0081466F"/>
    <w:rsid w:val="00814F19"/>
    <w:rsid w:val="008268EB"/>
    <w:rsid w:val="00827DE6"/>
    <w:rsid w:val="00831A82"/>
    <w:rsid w:val="00840251"/>
    <w:rsid w:val="00856344"/>
    <w:rsid w:val="00861EC2"/>
    <w:rsid w:val="0086516A"/>
    <w:rsid w:val="008706D9"/>
    <w:rsid w:val="00876AD1"/>
    <w:rsid w:val="008863BB"/>
    <w:rsid w:val="008870B5"/>
    <w:rsid w:val="00892B77"/>
    <w:rsid w:val="00897690"/>
    <w:rsid w:val="0089783F"/>
    <w:rsid w:val="008D1432"/>
    <w:rsid w:val="008D66AA"/>
    <w:rsid w:val="008E6D2F"/>
    <w:rsid w:val="008F66AB"/>
    <w:rsid w:val="00903F5B"/>
    <w:rsid w:val="00905729"/>
    <w:rsid w:val="00916A7F"/>
    <w:rsid w:val="00930E6B"/>
    <w:rsid w:val="0094522A"/>
    <w:rsid w:val="009458FD"/>
    <w:rsid w:val="009553D3"/>
    <w:rsid w:val="009679CF"/>
    <w:rsid w:val="0097325F"/>
    <w:rsid w:val="0097661C"/>
    <w:rsid w:val="0098064B"/>
    <w:rsid w:val="0098127D"/>
    <w:rsid w:val="00982314"/>
    <w:rsid w:val="00992B59"/>
    <w:rsid w:val="00992DA5"/>
    <w:rsid w:val="009B21A4"/>
    <w:rsid w:val="009B4CF6"/>
    <w:rsid w:val="009C3534"/>
    <w:rsid w:val="009C44EC"/>
    <w:rsid w:val="009C7CCB"/>
    <w:rsid w:val="009D105C"/>
    <w:rsid w:val="009E0680"/>
    <w:rsid w:val="009E24D3"/>
    <w:rsid w:val="009E2AB6"/>
    <w:rsid w:val="009E3399"/>
    <w:rsid w:val="009F2686"/>
    <w:rsid w:val="00A03764"/>
    <w:rsid w:val="00A10E35"/>
    <w:rsid w:val="00A12A53"/>
    <w:rsid w:val="00A23EE3"/>
    <w:rsid w:val="00A321DB"/>
    <w:rsid w:val="00A44E5C"/>
    <w:rsid w:val="00A617BE"/>
    <w:rsid w:val="00A75920"/>
    <w:rsid w:val="00A9187D"/>
    <w:rsid w:val="00A93B66"/>
    <w:rsid w:val="00AA4BEB"/>
    <w:rsid w:val="00AA6F88"/>
    <w:rsid w:val="00AB44F2"/>
    <w:rsid w:val="00AB5812"/>
    <w:rsid w:val="00AB5B2F"/>
    <w:rsid w:val="00AC06EA"/>
    <w:rsid w:val="00AC1BF8"/>
    <w:rsid w:val="00AD561A"/>
    <w:rsid w:val="00AE33EF"/>
    <w:rsid w:val="00AE7EFE"/>
    <w:rsid w:val="00AF6FA1"/>
    <w:rsid w:val="00B071E7"/>
    <w:rsid w:val="00B23A1D"/>
    <w:rsid w:val="00B37CD0"/>
    <w:rsid w:val="00B41A70"/>
    <w:rsid w:val="00B50A6A"/>
    <w:rsid w:val="00B56F38"/>
    <w:rsid w:val="00B61A25"/>
    <w:rsid w:val="00B64F5E"/>
    <w:rsid w:val="00B7248E"/>
    <w:rsid w:val="00B85915"/>
    <w:rsid w:val="00B900B1"/>
    <w:rsid w:val="00BA33DB"/>
    <w:rsid w:val="00BA7E38"/>
    <w:rsid w:val="00BB3FFF"/>
    <w:rsid w:val="00BC76C6"/>
    <w:rsid w:val="00BD4099"/>
    <w:rsid w:val="00BE4D31"/>
    <w:rsid w:val="00BF038B"/>
    <w:rsid w:val="00C00415"/>
    <w:rsid w:val="00C065B4"/>
    <w:rsid w:val="00C072C0"/>
    <w:rsid w:val="00C3396E"/>
    <w:rsid w:val="00C50B26"/>
    <w:rsid w:val="00C529F9"/>
    <w:rsid w:val="00C54008"/>
    <w:rsid w:val="00C81635"/>
    <w:rsid w:val="00C85122"/>
    <w:rsid w:val="00C86B11"/>
    <w:rsid w:val="00CA21AD"/>
    <w:rsid w:val="00CA5DFC"/>
    <w:rsid w:val="00CB0463"/>
    <w:rsid w:val="00CB0A16"/>
    <w:rsid w:val="00CB194D"/>
    <w:rsid w:val="00CB54F0"/>
    <w:rsid w:val="00CC0AE0"/>
    <w:rsid w:val="00CC45CD"/>
    <w:rsid w:val="00CC7F1E"/>
    <w:rsid w:val="00CD3DB6"/>
    <w:rsid w:val="00CD4DBD"/>
    <w:rsid w:val="00CD6D3C"/>
    <w:rsid w:val="00CD75E7"/>
    <w:rsid w:val="00CE1B6C"/>
    <w:rsid w:val="00CE7811"/>
    <w:rsid w:val="00D07829"/>
    <w:rsid w:val="00D16211"/>
    <w:rsid w:val="00D208AD"/>
    <w:rsid w:val="00D36962"/>
    <w:rsid w:val="00D40850"/>
    <w:rsid w:val="00D51EA6"/>
    <w:rsid w:val="00D52857"/>
    <w:rsid w:val="00D54E37"/>
    <w:rsid w:val="00D576AD"/>
    <w:rsid w:val="00D71482"/>
    <w:rsid w:val="00D967A7"/>
    <w:rsid w:val="00D967DD"/>
    <w:rsid w:val="00DA7E70"/>
    <w:rsid w:val="00DB04E0"/>
    <w:rsid w:val="00DB28C2"/>
    <w:rsid w:val="00DD0488"/>
    <w:rsid w:val="00DE30F7"/>
    <w:rsid w:val="00DF0B3B"/>
    <w:rsid w:val="00E113B6"/>
    <w:rsid w:val="00E26A67"/>
    <w:rsid w:val="00E27F4C"/>
    <w:rsid w:val="00E37133"/>
    <w:rsid w:val="00E40F66"/>
    <w:rsid w:val="00E41E9C"/>
    <w:rsid w:val="00E83A7D"/>
    <w:rsid w:val="00E84128"/>
    <w:rsid w:val="00E85454"/>
    <w:rsid w:val="00E9513B"/>
    <w:rsid w:val="00EA01D4"/>
    <w:rsid w:val="00EA2DB8"/>
    <w:rsid w:val="00EA4FB1"/>
    <w:rsid w:val="00EA76EB"/>
    <w:rsid w:val="00EB724E"/>
    <w:rsid w:val="00EC1840"/>
    <w:rsid w:val="00EC7CFB"/>
    <w:rsid w:val="00ED371F"/>
    <w:rsid w:val="00ED4352"/>
    <w:rsid w:val="00ED5986"/>
    <w:rsid w:val="00EF4758"/>
    <w:rsid w:val="00EF719A"/>
    <w:rsid w:val="00F03D4E"/>
    <w:rsid w:val="00F14EBD"/>
    <w:rsid w:val="00F16A10"/>
    <w:rsid w:val="00F24C7C"/>
    <w:rsid w:val="00F33EE5"/>
    <w:rsid w:val="00F44F0C"/>
    <w:rsid w:val="00F4643D"/>
    <w:rsid w:val="00F50E35"/>
    <w:rsid w:val="00F51FBD"/>
    <w:rsid w:val="00F53588"/>
    <w:rsid w:val="00F565D1"/>
    <w:rsid w:val="00F60AAB"/>
    <w:rsid w:val="00F6247F"/>
    <w:rsid w:val="00F722AA"/>
    <w:rsid w:val="00F73C8C"/>
    <w:rsid w:val="00F769A9"/>
    <w:rsid w:val="00F842D9"/>
    <w:rsid w:val="00FA490F"/>
    <w:rsid w:val="00FA601F"/>
    <w:rsid w:val="00FB1454"/>
    <w:rsid w:val="00FB42B1"/>
    <w:rsid w:val="00FB7A15"/>
    <w:rsid w:val="00FC0F7F"/>
    <w:rsid w:val="00FC5A58"/>
    <w:rsid w:val="00FC61FC"/>
    <w:rsid w:val="00FC6915"/>
    <w:rsid w:val="00FD0B6B"/>
    <w:rsid w:val="00FD12D3"/>
    <w:rsid w:val="00FD6B51"/>
    <w:rsid w:val="01016959"/>
    <w:rsid w:val="0103164E"/>
    <w:rsid w:val="01053E95"/>
    <w:rsid w:val="01170C55"/>
    <w:rsid w:val="011A1402"/>
    <w:rsid w:val="01233A9E"/>
    <w:rsid w:val="012C2953"/>
    <w:rsid w:val="01695955"/>
    <w:rsid w:val="0187447B"/>
    <w:rsid w:val="01905383"/>
    <w:rsid w:val="01997E9D"/>
    <w:rsid w:val="01A26771"/>
    <w:rsid w:val="01BA67AA"/>
    <w:rsid w:val="01C03C35"/>
    <w:rsid w:val="02076F1C"/>
    <w:rsid w:val="022C0730"/>
    <w:rsid w:val="02571E41"/>
    <w:rsid w:val="02705463"/>
    <w:rsid w:val="027C627B"/>
    <w:rsid w:val="0299351D"/>
    <w:rsid w:val="02D45050"/>
    <w:rsid w:val="02F0175E"/>
    <w:rsid w:val="0301120E"/>
    <w:rsid w:val="03065425"/>
    <w:rsid w:val="035B751F"/>
    <w:rsid w:val="035C39DD"/>
    <w:rsid w:val="039A7DE5"/>
    <w:rsid w:val="041240ED"/>
    <w:rsid w:val="04657D5E"/>
    <w:rsid w:val="04B0389B"/>
    <w:rsid w:val="04C2712A"/>
    <w:rsid w:val="05020731"/>
    <w:rsid w:val="050A5306"/>
    <w:rsid w:val="05876466"/>
    <w:rsid w:val="05BB42A5"/>
    <w:rsid w:val="05BC04AD"/>
    <w:rsid w:val="06615B6D"/>
    <w:rsid w:val="06856661"/>
    <w:rsid w:val="069F3494"/>
    <w:rsid w:val="06D03D80"/>
    <w:rsid w:val="07533A7C"/>
    <w:rsid w:val="07544E98"/>
    <w:rsid w:val="07726999"/>
    <w:rsid w:val="077E1A2E"/>
    <w:rsid w:val="07972AF0"/>
    <w:rsid w:val="07B70FD5"/>
    <w:rsid w:val="07E725D1"/>
    <w:rsid w:val="07F97307"/>
    <w:rsid w:val="081859DF"/>
    <w:rsid w:val="08476E12"/>
    <w:rsid w:val="08566507"/>
    <w:rsid w:val="089A6EC6"/>
    <w:rsid w:val="08F41621"/>
    <w:rsid w:val="0905012E"/>
    <w:rsid w:val="09104908"/>
    <w:rsid w:val="093E2DB5"/>
    <w:rsid w:val="09524F20"/>
    <w:rsid w:val="095D5673"/>
    <w:rsid w:val="099A2423"/>
    <w:rsid w:val="09BC6071"/>
    <w:rsid w:val="09D97339"/>
    <w:rsid w:val="0A0F4680"/>
    <w:rsid w:val="0A2A19F9"/>
    <w:rsid w:val="0A6809F1"/>
    <w:rsid w:val="0A7A13F8"/>
    <w:rsid w:val="0AEB73DB"/>
    <w:rsid w:val="0AF27C89"/>
    <w:rsid w:val="0AF91E9C"/>
    <w:rsid w:val="0B3E0C4B"/>
    <w:rsid w:val="0B454B94"/>
    <w:rsid w:val="0B73117E"/>
    <w:rsid w:val="0B7F7B23"/>
    <w:rsid w:val="0BF30A0D"/>
    <w:rsid w:val="0C104FD7"/>
    <w:rsid w:val="0C1E10EA"/>
    <w:rsid w:val="0C542D5E"/>
    <w:rsid w:val="0C6E110E"/>
    <w:rsid w:val="0CB832EC"/>
    <w:rsid w:val="0CBD4C23"/>
    <w:rsid w:val="0CC46135"/>
    <w:rsid w:val="0CDC358F"/>
    <w:rsid w:val="0D441024"/>
    <w:rsid w:val="0D6775B9"/>
    <w:rsid w:val="0D9A50E8"/>
    <w:rsid w:val="0DEB5944"/>
    <w:rsid w:val="0E4F7C80"/>
    <w:rsid w:val="0E7A67F6"/>
    <w:rsid w:val="0EC451A0"/>
    <w:rsid w:val="0ED37E91"/>
    <w:rsid w:val="0F4467AB"/>
    <w:rsid w:val="0F6A2898"/>
    <w:rsid w:val="0FB63156"/>
    <w:rsid w:val="103E4199"/>
    <w:rsid w:val="10777BA9"/>
    <w:rsid w:val="10AD6EE0"/>
    <w:rsid w:val="10D206F5"/>
    <w:rsid w:val="10D97CD5"/>
    <w:rsid w:val="10F306FC"/>
    <w:rsid w:val="111844CD"/>
    <w:rsid w:val="112F3D99"/>
    <w:rsid w:val="1158509E"/>
    <w:rsid w:val="118E0AC0"/>
    <w:rsid w:val="118F65E6"/>
    <w:rsid w:val="11AE2F4A"/>
    <w:rsid w:val="11B22B48"/>
    <w:rsid w:val="11B60146"/>
    <w:rsid w:val="11C016DE"/>
    <w:rsid w:val="11EC6EDA"/>
    <w:rsid w:val="121543C9"/>
    <w:rsid w:val="122D2087"/>
    <w:rsid w:val="12374CB3"/>
    <w:rsid w:val="125606F6"/>
    <w:rsid w:val="125D71F4"/>
    <w:rsid w:val="1272218F"/>
    <w:rsid w:val="12AA7B7B"/>
    <w:rsid w:val="12C765B7"/>
    <w:rsid w:val="130962FF"/>
    <w:rsid w:val="133B39FD"/>
    <w:rsid w:val="134D0507"/>
    <w:rsid w:val="136F66CF"/>
    <w:rsid w:val="140A13F0"/>
    <w:rsid w:val="142E0338"/>
    <w:rsid w:val="145E0C1D"/>
    <w:rsid w:val="14634486"/>
    <w:rsid w:val="14815E46"/>
    <w:rsid w:val="14C54D57"/>
    <w:rsid w:val="14E1184E"/>
    <w:rsid w:val="15070C74"/>
    <w:rsid w:val="150F5345"/>
    <w:rsid w:val="151470F4"/>
    <w:rsid w:val="15267261"/>
    <w:rsid w:val="1560095F"/>
    <w:rsid w:val="158B33C2"/>
    <w:rsid w:val="15C50828"/>
    <w:rsid w:val="15E52C78"/>
    <w:rsid w:val="15EB2FB7"/>
    <w:rsid w:val="15F27379"/>
    <w:rsid w:val="161F06E9"/>
    <w:rsid w:val="168801D3"/>
    <w:rsid w:val="16B07B27"/>
    <w:rsid w:val="16C60CFC"/>
    <w:rsid w:val="16EC1FA8"/>
    <w:rsid w:val="173619DD"/>
    <w:rsid w:val="17625CC2"/>
    <w:rsid w:val="1767428D"/>
    <w:rsid w:val="17726EEA"/>
    <w:rsid w:val="17D03460"/>
    <w:rsid w:val="17EC0B50"/>
    <w:rsid w:val="17F8365D"/>
    <w:rsid w:val="184B14B9"/>
    <w:rsid w:val="18C748B7"/>
    <w:rsid w:val="18D442BE"/>
    <w:rsid w:val="18DA6CE0"/>
    <w:rsid w:val="18FF3760"/>
    <w:rsid w:val="19147EA7"/>
    <w:rsid w:val="19213995"/>
    <w:rsid w:val="192341E3"/>
    <w:rsid w:val="192B4E46"/>
    <w:rsid w:val="194D1260"/>
    <w:rsid w:val="19614D0C"/>
    <w:rsid w:val="19B72B7E"/>
    <w:rsid w:val="19D41F50"/>
    <w:rsid w:val="19E24DE6"/>
    <w:rsid w:val="19E35721"/>
    <w:rsid w:val="19E41490"/>
    <w:rsid w:val="19FD05F9"/>
    <w:rsid w:val="1A347747"/>
    <w:rsid w:val="1A382C5C"/>
    <w:rsid w:val="1A7F7C04"/>
    <w:rsid w:val="1A9C1369"/>
    <w:rsid w:val="1A9F7E63"/>
    <w:rsid w:val="1ADD0464"/>
    <w:rsid w:val="1AF777D3"/>
    <w:rsid w:val="1B1A7868"/>
    <w:rsid w:val="1B1C2820"/>
    <w:rsid w:val="1B494EEE"/>
    <w:rsid w:val="1B527002"/>
    <w:rsid w:val="1B6C3FA8"/>
    <w:rsid w:val="1B956B8E"/>
    <w:rsid w:val="1BC53330"/>
    <w:rsid w:val="1BCC108E"/>
    <w:rsid w:val="1BE62844"/>
    <w:rsid w:val="1BE91714"/>
    <w:rsid w:val="1BF168E9"/>
    <w:rsid w:val="1BF33684"/>
    <w:rsid w:val="1C0320AA"/>
    <w:rsid w:val="1C0A168B"/>
    <w:rsid w:val="1C14361B"/>
    <w:rsid w:val="1C432CF0"/>
    <w:rsid w:val="1CB770F1"/>
    <w:rsid w:val="1CC92B13"/>
    <w:rsid w:val="1CD221A8"/>
    <w:rsid w:val="1D020126"/>
    <w:rsid w:val="1D02611E"/>
    <w:rsid w:val="1D164A64"/>
    <w:rsid w:val="1D520995"/>
    <w:rsid w:val="1DE33CD0"/>
    <w:rsid w:val="1DE428C0"/>
    <w:rsid w:val="1E4470D6"/>
    <w:rsid w:val="1E472722"/>
    <w:rsid w:val="1EC024D4"/>
    <w:rsid w:val="1EC2624D"/>
    <w:rsid w:val="1EE60BE9"/>
    <w:rsid w:val="1EED151B"/>
    <w:rsid w:val="1EFC175F"/>
    <w:rsid w:val="1F00630D"/>
    <w:rsid w:val="1F62533A"/>
    <w:rsid w:val="1F78690B"/>
    <w:rsid w:val="1F8A789D"/>
    <w:rsid w:val="1F8B2AE2"/>
    <w:rsid w:val="1FAB2B6C"/>
    <w:rsid w:val="1FB57B5F"/>
    <w:rsid w:val="1FBF0009"/>
    <w:rsid w:val="1FC61CE9"/>
    <w:rsid w:val="1FE76F45"/>
    <w:rsid w:val="20032EF5"/>
    <w:rsid w:val="2015462B"/>
    <w:rsid w:val="203E4715"/>
    <w:rsid w:val="209D6CA4"/>
    <w:rsid w:val="210B74A1"/>
    <w:rsid w:val="213571AA"/>
    <w:rsid w:val="214178FD"/>
    <w:rsid w:val="21555156"/>
    <w:rsid w:val="21717AB6"/>
    <w:rsid w:val="21A67760"/>
    <w:rsid w:val="21DC7625"/>
    <w:rsid w:val="221072CF"/>
    <w:rsid w:val="22191077"/>
    <w:rsid w:val="222A5F92"/>
    <w:rsid w:val="222B4109"/>
    <w:rsid w:val="226E5959"/>
    <w:rsid w:val="227A33FE"/>
    <w:rsid w:val="22A05F06"/>
    <w:rsid w:val="22B1460E"/>
    <w:rsid w:val="22B20386"/>
    <w:rsid w:val="22D40FA2"/>
    <w:rsid w:val="22E939B2"/>
    <w:rsid w:val="233368C8"/>
    <w:rsid w:val="237A70F6"/>
    <w:rsid w:val="24022994"/>
    <w:rsid w:val="24266474"/>
    <w:rsid w:val="242D5C13"/>
    <w:rsid w:val="243C7F1C"/>
    <w:rsid w:val="246D6C5B"/>
    <w:rsid w:val="246F29D3"/>
    <w:rsid w:val="24A85EE5"/>
    <w:rsid w:val="25117791"/>
    <w:rsid w:val="25341597"/>
    <w:rsid w:val="2539485F"/>
    <w:rsid w:val="257C680F"/>
    <w:rsid w:val="25D074A1"/>
    <w:rsid w:val="26050ABE"/>
    <w:rsid w:val="263E1462"/>
    <w:rsid w:val="26EF7DFB"/>
    <w:rsid w:val="27261DA6"/>
    <w:rsid w:val="27381396"/>
    <w:rsid w:val="27962024"/>
    <w:rsid w:val="279777B8"/>
    <w:rsid w:val="27AA0124"/>
    <w:rsid w:val="27D2735E"/>
    <w:rsid w:val="28243AD4"/>
    <w:rsid w:val="282633A8"/>
    <w:rsid w:val="296323DA"/>
    <w:rsid w:val="297B72FA"/>
    <w:rsid w:val="29A24CB1"/>
    <w:rsid w:val="29C309F2"/>
    <w:rsid w:val="29FA1F67"/>
    <w:rsid w:val="2A005E7B"/>
    <w:rsid w:val="2A0C4820"/>
    <w:rsid w:val="2A9C3DF6"/>
    <w:rsid w:val="2B584446"/>
    <w:rsid w:val="2B7D302A"/>
    <w:rsid w:val="2B876854"/>
    <w:rsid w:val="2BBA481C"/>
    <w:rsid w:val="2BF97BA1"/>
    <w:rsid w:val="2BFC0FF0"/>
    <w:rsid w:val="2BFC1B4F"/>
    <w:rsid w:val="2BFF63EA"/>
    <w:rsid w:val="2C047EA4"/>
    <w:rsid w:val="2C397789"/>
    <w:rsid w:val="2C6170A5"/>
    <w:rsid w:val="2C7A0675"/>
    <w:rsid w:val="2C8836C9"/>
    <w:rsid w:val="2C9C6DB6"/>
    <w:rsid w:val="2CB50222"/>
    <w:rsid w:val="2CDF7FCA"/>
    <w:rsid w:val="2CEF46B1"/>
    <w:rsid w:val="2D12039F"/>
    <w:rsid w:val="2D2D51D9"/>
    <w:rsid w:val="2D334285"/>
    <w:rsid w:val="2D37707D"/>
    <w:rsid w:val="2D4744ED"/>
    <w:rsid w:val="2D4B2C12"/>
    <w:rsid w:val="2D7039FC"/>
    <w:rsid w:val="2D957A25"/>
    <w:rsid w:val="2E255EB0"/>
    <w:rsid w:val="2E2F6D2F"/>
    <w:rsid w:val="2E4F15AE"/>
    <w:rsid w:val="2E913546"/>
    <w:rsid w:val="2EAB45B1"/>
    <w:rsid w:val="2EC97210"/>
    <w:rsid w:val="2EE40B92"/>
    <w:rsid w:val="30057F97"/>
    <w:rsid w:val="302F3016"/>
    <w:rsid w:val="3036513C"/>
    <w:rsid w:val="30483F5C"/>
    <w:rsid w:val="305946A6"/>
    <w:rsid w:val="30B03C31"/>
    <w:rsid w:val="31102765"/>
    <w:rsid w:val="3115045E"/>
    <w:rsid w:val="312C454D"/>
    <w:rsid w:val="3169445C"/>
    <w:rsid w:val="31A30E4F"/>
    <w:rsid w:val="31D100A1"/>
    <w:rsid w:val="325D4D96"/>
    <w:rsid w:val="329F26D5"/>
    <w:rsid w:val="32A47CEB"/>
    <w:rsid w:val="32C74667"/>
    <w:rsid w:val="33286205"/>
    <w:rsid w:val="336E5CE1"/>
    <w:rsid w:val="339E298D"/>
    <w:rsid w:val="33B65F28"/>
    <w:rsid w:val="33B73A4E"/>
    <w:rsid w:val="33DC18DA"/>
    <w:rsid w:val="34473024"/>
    <w:rsid w:val="344D6161"/>
    <w:rsid w:val="34A00986"/>
    <w:rsid w:val="350902DA"/>
    <w:rsid w:val="351A6043"/>
    <w:rsid w:val="357E3492"/>
    <w:rsid w:val="358410B9"/>
    <w:rsid w:val="358F4C83"/>
    <w:rsid w:val="35994EB6"/>
    <w:rsid w:val="35DF68CD"/>
    <w:rsid w:val="36C14069"/>
    <w:rsid w:val="371050E4"/>
    <w:rsid w:val="37531CE0"/>
    <w:rsid w:val="376F787E"/>
    <w:rsid w:val="377D6D5D"/>
    <w:rsid w:val="37A40966"/>
    <w:rsid w:val="37BE184F"/>
    <w:rsid w:val="37BF2ED1"/>
    <w:rsid w:val="384855BD"/>
    <w:rsid w:val="38497B77"/>
    <w:rsid w:val="38500654"/>
    <w:rsid w:val="385A49D9"/>
    <w:rsid w:val="38865D6D"/>
    <w:rsid w:val="38D022E2"/>
    <w:rsid w:val="38DC7CD8"/>
    <w:rsid w:val="38F05F19"/>
    <w:rsid w:val="390953E9"/>
    <w:rsid w:val="3938118D"/>
    <w:rsid w:val="394F314E"/>
    <w:rsid w:val="39522806"/>
    <w:rsid w:val="39641F82"/>
    <w:rsid w:val="397240D4"/>
    <w:rsid w:val="398A1CAE"/>
    <w:rsid w:val="399D5494"/>
    <w:rsid w:val="39AE31FE"/>
    <w:rsid w:val="39CF5E3F"/>
    <w:rsid w:val="39F01A68"/>
    <w:rsid w:val="3A037937"/>
    <w:rsid w:val="3A0A0AD6"/>
    <w:rsid w:val="3A190FBF"/>
    <w:rsid w:val="3A2C5149"/>
    <w:rsid w:val="3A4847AD"/>
    <w:rsid w:val="3A622C03"/>
    <w:rsid w:val="3A856654"/>
    <w:rsid w:val="3A8A3A4F"/>
    <w:rsid w:val="3AA70C32"/>
    <w:rsid w:val="3AC32CD9"/>
    <w:rsid w:val="3AC56A51"/>
    <w:rsid w:val="3B07350D"/>
    <w:rsid w:val="3B7F4E52"/>
    <w:rsid w:val="3BA50630"/>
    <w:rsid w:val="3BA66882"/>
    <w:rsid w:val="3BAD4A61"/>
    <w:rsid w:val="3BAF6DD7"/>
    <w:rsid w:val="3BDA762F"/>
    <w:rsid w:val="3BE32D79"/>
    <w:rsid w:val="3BF07AFD"/>
    <w:rsid w:val="3C704D6A"/>
    <w:rsid w:val="3C860AC1"/>
    <w:rsid w:val="3C8A1D00"/>
    <w:rsid w:val="3CAE64D1"/>
    <w:rsid w:val="3CCC4058"/>
    <w:rsid w:val="3CD236A7"/>
    <w:rsid w:val="3CE138EA"/>
    <w:rsid w:val="3CF11D7F"/>
    <w:rsid w:val="3D0D2ECC"/>
    <w:rsid w:val="3D532A3A"/>
    <w:rsid w:val="3D6B1CE1"/>
    <w:rsid w:val="3DB159B2"/>
    <w:rsid w:val="3DBB3194"/>
    <w:rsid w:val="3E157CEF"/>
    <w:rsid w:val="3E8135D7"/>
    <w:rsid w:val="3E830200"/>
    <w:rsid w:val="3E8302DB"/>
    <w:rsid w:val="3EE55710"/>
    <w:rsid w:val="3EFE0783"/>
    <w:rsid w:val="3EFE4AEF"/>
    <w:rsid w:val="3F2F7400"/>
    <w:rsid w:val="3F340649"/>
    <w:rsid w:val="3F4E184B"/>
    <w:rsid w:val="3F854A01"/>
    <w:rsid w:val="3F9D5D2D"/>
    <w:rsid w:val="3FA51CB3"/>
    <w:rsid w:val="3FB01FB6"/>
    <w:rsid w:val="3FB44230"/>
    <w:rsid w:val="3FB62E0C"/>
    <w:rsid w:val="3FBD063E"/>
    <w:rsid w:val="3FE23C01"/>
    <w:rsid w:val="402266F3"/>
    <w:rsid w:val="409B4DCD"/>
    <w:rsid w:val="40AE7F87"/>
    <w:rsid w:val="40B97D06"/>
    <w:rsid w:val="40C94DC1"/>
    <w:rsid w:val="410C3BF3"/>
    <w:rsid w:val="41250249"/>
    <w:rsid w:val="415428DD"/>
    <w:rsid w:val="41675EF4"/>
    <w:rsid w:val="41871448"/>
    <w:rsid w:val="41962EF5"/>
    <w:rsid w:val="41CD40DC"/>
    <w:rsid w:val="41DD0B24"/>
    <w:rsid w:val="41E974C9"/>
    <w:rsid w:val="41EE0F83"/>
    <w:rsid w:val="42057832"/>
    <w:rsid w:val="42072423"/>
    <w:rsid w:val="421F113C"/>
    <w:rsid w:val="42220C2D"/>
    <w:rsid w:val="425A3F23"/>
    <w:rsid w:val="426B6DB8"/>
    <w:rsid w:val="42765FFE"/>
    <w:rsid w:val="42D02437"/>
    <w:rsid w:val="432A4F3D"/>
    <w:rsid w:val="437358A3"/>
    <w:rsid w:val="437E6337"/>
    <w:rsid w:val="43864FE1"/>
    <w:rsid w:val="43B9736F"/>
    <w:rsid w:val="43D9356D"/>
    <w:rsid w:val="440338B2"/>
    <w:rsid w:val="443543E8"/>
    <w:rsid w:val="44397A2A"/>
    <w:rsid w:val="44404E85"/>
    <w:rsid w:val="4472431D"/>
    <w:rsid w:val="44735770"/>
    <w:rsid w:val="44B55D88"/>
    <w:rsid w:val="44B963E6"/>
    <w:rsid w:val="44BA6EFA"/>
    <w:rsid w:val="45132BAB"/>
    <w:rsid w:val="4516341F"/>
    <w:rsid w:val="452F78E8"/>
    <w:rsid w:val="453F2CA5"/>
    <w:rsid w:val="45945B5B"/>
    <w:rsid w:val="45A32084"/>
    <w:rsid w:val="45A415DF"/>
    <w:rsid w:val="45A77426"/>
    <w:rsid w:val="45A91137"/>
    <w:rsid w:val="45AD2F03"/>
    <w:rsid w:val="45F33DC3"/>
    <w:rsid w:val="462A6012"/>
    <w:rsid w:val="468E2048"/>
    <w:rsid w:val="46905BB4"/>
    <w:rsid w:val="46BF5A68"/>
    <w:rsid w:val="46C67DD9"/>
    <w:rsid w:val="46CE2B3F"/>
    <w:rsid w:val="46DD19DE"/>
    <w:rsid w:val="471E7C15"/>
    <w:rsid w:val="47226FEC"/>
    <w:rsid w:val="472C2172"/>
    <w:rsid w:val="47392CA0"/>
    <w:rsid w:val="4745441F"/>
    <w:rsid w:val="474653BD"/>
    <w:rsid w:val="476B7C8B"/>
    <w:rsid w:val="479223B1"/>
    <w:rsid w:val="47A45C40"/>
    <w:rsid w:val="47AF5369"/>
    <w:rsid w:val="47B77B4C"/>
    <w:rsid w:val="47E10C42"/>
    <w:rsid w:val="482079BC"/>
    <w:rsid w:val="487E2A39"/>
    <w:rsid w:val="48A310A3"/>
    <w:rsid w:val="4921579A"/>
    <w:rsid w:val="494E505E"/>
    <w:rsid w:val="495714D8"/>
    <w:rsid w:val="49675177"/>
    <w:rsid w:val="499D1F90"/>
    <w:rsid w:val="49C12AD9"/>
    <w:rsid w:val="49C64593"/>
    <w:rsid w:val="49DA54EB"/>
    <w:rsid w:val="49E46081"/>
    <w:rsid w:val="4A484FA8"/>
    <w:rsid w:val="4AA52D9C"/>
    <w:rsid w:val="4ABF3AAC"/>
    <w:rsid w:val="4B133808"/>
    <w:rsid w:val="4B187071"/>
    <w:rsid w:val="4B1A5AE6"/>
    <w:rsid w:val="4B2E0642"/>
    <w:rsid w:val="4B49051F"/>
    <w:rsid w:val="4B4B1487"/>
    <w:rsid w:val="4B8F1AD5"/>
    <w:rsid w:val="4BAA3696"/>
    <w:rsid w:val="4BAA373B"/>
    <w:rsid w:val="4BDE3E16"/>
    <w:rsid w:val="4C392DFB"/>
    <w:rsid w:val="4C4322C8"/>
    <w:rsid w:val="4C4408EC"/>
    <w:rsid w:val="4C6651B0"/>
    <w:rsid w:val="4CBB37EC"/>
    <w:rsid w:val="4CC21042"/>
    <w:rsid w:val="4CE809B4"/>
    <w:rsid w:val="4D3A32CE"/>
    <w:rsid w:val="4DA76B18"/>
    <w:rsid w:val="4DC1754C"/>
    <w:rsid w:val="4DD252B5"/>
    <w:rsid w:val="4E1753BE"/>
    <w:rsid w:val="4E54216E"/>
    <w:rsid w:val="4E597784"/>
    <w:rsid w:val="4E6433EF"/>
    <w:rsid w:val="4EA56E6D"/>
    <w:rsid w:val="4EAA3704"/>
    <w:rsid w:val="4EAA7FE0"/>
    <w:rsid w:val="4EB1136E"/>
    <w:rsid w:val="4EB45A52"/>
    <w:rsid w:val="4ECE0172"/>
    <w:rsid w:val="4F275AD4"/>
    <w:rsid w:val="4F385593"/>
    <w:rsid w:val="4F3B50DC"/>
    <w:rsid w:val="4F3B7920"/>
    <w:rsid w:val="4F40596D"/>
    <w:rsid w:val="4FC21359"/>
    <w:rsid w:val="4FC56ABD"/>
    <w:rsid w:val="4FEC19BF"/>
    <w:rsid w:val="5033650F"/>
    <w:rsid w:val="505521CD"/>
    <w:rsid w:val="5057151C"/>
    <w:rsid w:val="50834F8C"/>
    <w:rsid w:val="50BB2978"/>
    <w:rsid w:val="50F43794"/>
    <w:rsid w:val="511E4CB5"/>
    <w:rsid w:val="51384A47"/>
    <w:rsid w:val="5158411C"/>
    <w:rsid w:val="516F5314"/>
    <w:rsid w:val="517E2D64"/>
    <w:rsid w:val="518F1CAB"/>
    <w:rsid w:val="51A0391C"/>
    <w:rsid w:val="51A404F0"/>
    <w:rsid w:val="52044313"/>
    <w:rsid w:val="520D0FB1"/>
    <w:rsid w:val="521E103E"/>
    <w:rsid w:val="52E2243E"/>
    <w:rsid w:val="52EE5A92"/>
    <w:rsid w:val="530D266C"/>
    <w:rsid w:val="533C1422"/>
    <w:rsid w:val="538D47C8"/>
    <w:rsid w:val="53A06693"/>
    <w:rsid w:val="53A476F3"/>
    <w:rsid w:val="53B51901"/>
    <w:rsid w:val="53C658BC"/>
    <w:rsid w:val="53D52BAB"/>
    <w:rsid w:val="54E13E54"/>
    <w:rsid w:val="55083CB2"/>
    <w:rsid w:val="551B1C37"/>
    <w:rsid w:val="553A6E42"/>
    <w:rsid w:val="553E1349"/>
    <w:rsid w:val="55726311"/>
    <w:rsid w:val="55B9716F"/>
    <w:rsid w:val="55C2240C"/>
    <w:rsid w:val="55C240C3"/>
    <w:rsid w:val="55F14746"/>
    <w:rsid w:val="55F37EEE"/>
    <w:rsid w:val="55FD30EB"/>
    <w:rsid w:val="562543F0"/>
    <w:rsid w:val="565151E5"/>
    <w:rsid w:val="56674A08"/>
    <w:rsid w:val="56B33A65"/>
    <w:rsid w:val="56ED7157"/>
    <w:rsid w:val="571E65D2"/>
    <w:rsid w:val="57C6297F"/>
    <w:rsid w:val="57D47073"/>
    <w:rsid w:val="57D47AAD"/>
    <w:rsid w:val="57F8442D"/>
    <w:rsid w:val="58134E48"/>
    <w:rsid w:val="58223786"/>
    <w:rsid w:val="583059FA"/>
    <w:rsid w:val="58444C6B"/>
    <w:rsid w:val="585711D8"/>
    <w:rsid w:val="585A7FCE"/>
    <w:rsid w:val="58845D45"/>
    <w:rsid w:val="5898359F"/>
    <w:rsid w:val="58A53BB7"/>
    <w:rsid w:val="58BD3B79"/>
    <w:rsid w:val="59611F42"/>
    <w:rsid w:val="596A6E00"/>
    <w:rsid w:val="59992E7A"/>
    <w:rsid w:val="59A815C0"/>
    <w:rsid w:val="59AA743B"/>
    <w:rsid w:val="59AE2310"/>
    <w:rsid w:val="59AE6896"/>
    <w:rsid w:val="59E2253B"/>
    <w:rsid w:val="59FD5DAF"/>
    <w:rsid w:val="5A405C9C"/>
    <w:rsid w:val="5A504F39"/>
    <w:rsid w:val="5A5F25C6"/>
    <w:rsid w:val="5AD81814"/>
    <w:rsid w:val="5AEE249A"/>
    <w:rsid w:val="5AEE74A6"/>
    <w:rsid w:val="5B547E33"/>
    <w:rsid w:val="5B6C6048"/>
    <w:rsid w:val="5B7F45A2"/>
    <w:rsid w:val="5B9B762E"/>
    <w:rsid w:val="5BC00E43"/>
    <w:rsid w:val="5BC7423C"/>
    <w:rsid w:val="5BD62414"/>
    <w:rsid w:val="5C066C71"/>
    <w:rsid w:val="5C245113"/>
    <w:rsid w:val="5C245613"/>
    <w:rsid w:val="5C335AB8"/>
    <w:rsid w:val="5C437C21"/>
    <w:rsid w:val="5CC76345"/>
    <w:rsid w:val="5CF71E80"/>
    <w:rsid w:val="5D0F471A"/>
    <w:rsid w:val="5D500270"/>
    <w:rsid w:val="5D52279A"/>
    <w:rsid w:val="5D715AA6"/>
    <w:rsid w:val="5D900CE9"/>
    <w:rsid w:val="5D956B43"/>
    <w:rsid w:val="5DBA068D"/>
    <w:rsid w:val="5DDD7FFE"/>
    <w:rsid w:val="5DEC4171"/>
    <w:rsid w:val="5DFD3D0D"/>
    <w:rsid w:val="5E115985"/>
    <w:rsid w:val="5E1E4546"/>
    <w:rsid w:val="5E4A533B"/>
    <w:rsid w:val="5E4E6BDA"/>
    <w:rsid w:val="5E733C64"/>
    <w:rsid w:val="5E850250"/>
    <w:rsid w:val="5E857C13"/>
    <w:rsid w:val="5E9311D7"/>
    <w:rsid w:val="5E93650C"/>
    <w:rsid w:val="5ED01887"/>
    <w:rsid w:val="5F137857"/>
    <w:rsid w:val="5F1F0576"/>
    <w:rsid w:val="5F2B0CC9"/>
    <w:rsid w:val="5F630463"/>
    <w:rsid w:val="5F7206A6"/>
    <w:rsid w:val="5F7E76B5"/>
    <w:rsid w:val="5F8623A3"/>
    <w:rsid w:val="5F8D3732"/>
    <w:rsid w:val="5F994D48"/>
    <w:rsid w:val="5FCB527C"/>
    <w:rsid w:val="5FD4193B"/>
    <w:rsid w:val="600223A6"/>
    <w:rsid w:val="601E6EE1"/>
    <w:rsid w:val="601F2E6C"/>
    <w:rsid w:val="6031230F"/>
    <w:rsid w:val="60566219"/>
    <w:rsid w:val="60A24FBB"/>
    <w:rsid w:val="60D101CD"/>
    <w:rsid w:val="60D75602"/>
    <w:rsid w:val="60E90E3C"/>
    <w:rsid w:val="60EB4BB4"/>
    <w:rsid w:val="60EC6236"/>
    <w:rsid w:val="61135EB8"/>
    <w:rsid w:val="612F1D99"/>
    <w:rsid w:val="613A51F3"/>
    <w:rsid w:val="61496B1A"/>
    <w:rsid w:val="616C5E36"/>
    <w:rsid w:val="61997748"/>
    <w:rsid w:val="619E1C26"/>
    <w:rsid w:val="61A905CB"/>
    <w:rsid w:val="61CD250B"/>
    <w:rsid w:val="61FE54BF"/>
    <w:rsid w:val="61FF01EB"/>
    <w:rsid w:val="6211441E"/>
    <w:rsid w:val="62190095"/>
    <w:rsid w:val="62312A9A"/>
    <w:rsid w:val="62377B3C"/>
    <w:rsid w:val="62552044"/>
    <w:rsid w:val="62572937"/>
    <w:rsid w:val="62696341"/>
    <w:rsid w:val="627B76B3"/>
    <w:rsid w:val="628506F0"/>
    <w:rsid w:val="6286278E"/>
    <w:rsid w:val="62BD7ADD"/>
    <w:rsid w:val="62C313C7"/>
    <w:rsid w:val="62C60107"/>
    <w:rsid w:val="62E71450"/>
    <w:rsid w:val="62FE04A2"/>
    <w:rsid w:val="631F28F3"/>
    <w:rsid w:val="634F6163"/>
    <w:rsid w:val="63970658"/>
    <w:rsid w:val="63BC4D5D"/>
    <w:rsid w:val="63CC234F"/>
    <w:rsid w:val="63CF4B10"/>
    <w:rsid w:val="63DC6A36"/>
    <w:rsid w:val="63E310EE"/>
    <w:rsid w:val="63EE16DC"/>
    <w:rsid w:val="640E2967"/>
    <w:rsid w:val="642A4D0A"/>
    <w:rsid w:val="644663AD"/>
    <w:rsid w:val="64722EF6"/>
    <w:rsid w:val="64A77044"/>
    <w:rsid w:val="64AC7B4C"/>
    <w:rsid w:val="64FB11CC"/>
    <w:rsid w:val="6502545F"/>
    <w:rsid w:val="650C0A0A"/>
    <w:rsid w:val="657D04C0"/>
    <w:rsid w:val="658E1FB1"/>
    <w:rsid w:val="65953340"/>
    <w:rsid w:val="65CB4C95"/>
    <w:rsid w:val="661029C7"/>
    <w:rsid w:val="664803B2"/>
    <w:rsid w:val="667F18FA"/>
    <w:rsid w:val="66C002CC"/>
    <w:rsid w:val="66E85983"/>
    <w:rsid w:val="672A74C8"/>
    <w:rsid w:val="67447CF6"/>
    <w:rsid w:val="675764A4"/>
    <w:rsid w:val="67601C72"/>
    <w:rsid w:val="67A07D7A"/>
    <w:rsid w:val="67E91721"/>
    <w:rsid w:val="67ED45BC"/>
    <w:rsid w:val="68556951"/>
    <w:rsid w:val="686B482C"/>
    <w:rsid w:val="68725BBA"/>
    <w:rsid w:val="688D2AED"/>
    <w:rsid w:val="6897117D"/>
    <w:rsid w:val="68AD3B67"/>
    <w:rsid w:val="68AE0CE2"/>
    <w:rsid w:val="69034A64"/>
    <w:rsid w:val="69381302"/>
    <w:rsid w:val="693E2260"/>
    <w:rsid w:val="69964E96"/>
    <w:rsid w:val="69A94E0C"/>
    <w:rsid w:val="69F30635"/>
    <w:rsid w:val="6A0A1178"/>
    <w:rsid w:val="6A1F58CE"/>
    <w:rsid w:val="6A5D1F52"/>
    <w:rsid w:val="6A7C062B"/>
    <w:rsid w:val="6A971908"/>
    <w:rsid w:val="6ABB5194"/>
    <w:rsid w:val="6ACF0EAC"/>
    <w:rsid w:val="6AD761A9"/>
    <w:rsid w:val="6AE96A85"/>
    <w:rsid w:val="6B0C5E52"/>
    <w:rsid w:val="6B0F149F"/>
    <w:rsid w:val="6B0F30CE"/>
    <w:rsid w:val="6B1336F4"/>
    <w:rsid w:val="6B365C28"/>
    <w:rsid w:val="6BB362CE"/>
    <w:rsid w:val="6BBE14D1"/>
    <w:rsid w:val="6BE91C66"/>
    <w:rsid w:val="6C0703C8"/>
    <w:rsid w:val="6C0C3C30"/>
    <w:rsid w:val="6C336C88"/>
    <w:rsid w:val="6C375767"/>
    <w:rsid w:val="6C4F6A3F"/>
    <w:rsid w:val="6C691082"/>
    <w:rsid w:val="6CD7423E"/>
    <w:rsid w:val="6CEB7CE9"/>
    <w:rsid w:val="6D1E1E6D"/>
    <w:rsid w:val="6D2B634E"/>
    <w:rsid w:val="6D6016CB"/>
    <w:rsid w:val="6D68133A"/>
    <w:rsid w:val="6D6D6796"/>
    <w:rsid w:val="6D7A3958"/>
    <w:rsid w:val="6D8C327A"/>
    <w:rsid w:val="6D9542BD"/>
    <w:rsid w:val="6E121C57"/>
    <w:rsid w:val="6E7B6E4B"/>
    <w:rsid w:val="6EA75E92"/>
    <w:rsid w:val="6EB2181E"/>
    <w:rsid w:val="6EDA0016"/>
    <w:rsid w:val="6EEF4C65"/>
    <w:rsid w:val="6F0230C8"/>
    <w:rsid w:val="6F03677A"/>
    <w:rsid w:val="6F346212"/>
    <w:rsid w:val="6F573929"/>
    <w:rsid w:val="6FA268BC"/>
    <w:rsid w:val="6FBF67BE"/>
    <w:rsid w:val="6FC425FD"/>
    <w:rsid w:val="6FD40F09"/>
    <w:rsid w:val="704454C9"/>
    <w:rsid w:val="70681006"/>
    <w:rsid w:val="70804CD9"/>
    <w:rsid w:val="70810653"/>
    <w:rsid w:val="70860455"/>
    <w:rsid w:val="70A42689"/>
    <w:rsid w:val="70F67E44"/>
    <w:rsid w:val="71381E75"/>
    <w:rsid w:val="71467BE4"/>
    <w:rsid w:val="71467FFE"/>
    <w:rsid w:val="715D7825"/>
    <w:rsid w:val="719B7F30"/>
    <w:rsid w:val="71AD4BDE"/>
    <w:rsid w:val="71C36473"/>
    <w:rsid w:val="71D074AE"/>
    <w:rsid w:val="71D16109"/>
    <w:rsid w:val="71E7393C"/>
    <w:rsid w:val="721E3727"/>
    <w:rsid w:val="72872262"/>
    <w:rsid w:val="72B56DCF"/>
    <w:rsid w:val="72BD487D"/>
    <w:rsid w:val="72C74D55"/>
    <w:rsid w:val="72F62F44"/>
    <w:rsid w:val="72F85887"/>
    <w:rsid w:val="731735E6"/>
    <w:rsid w:val="731D6723"/>
    <w:rsid w:val="73320A32"/>
    <w:rsid w:val="737104F3"/>
    <w:rsid w:val="7371278F"/>
    <w:rsid w:val="7399224D"/>
    <w:rsid w:val="73F32AAF"/>
    <w:rsid w:val="741928EC"/>
    <w:rsid w:val="74235FBB"/>
    <w:rsid w:val="742A7349"/>
    <w:rsid w:val="74601C12"/>
    <w:rsid w:val="74D30344"/>
    <w:rsid w:val="751D0008"/>
    <w:rsid w:val="75341D7F"/>
    <w:rsid w:val="754B7177"/>
    <w:rsid w:val="7564688B"/>
    <w:rsid w:val="757B6790"/>
    <w:rsid w:val="757E592E"/>
    <w:rsid w:val="75907680"/>
    <w:rsid w:val="75A373B3"/>
    <w:rsid w:val="75B17216"/>
    <w:rsid w:val="75B21DF5"/>
    <w:rsid w:val="75CA2B92"/>
    <w:rsid w:val="75E53A50"/>
    <w:rsid w:val="75EA3234"/>
    <w:rsid w:val="768B67C1"/>
    <w:rsid w:val="769E07B2"/>
    <w:rsid w:val="76AE2CCF"/>
    <w:rsid w:val="76D37824"/>
    <w:rsid w:val="76F81981"/>
    <w:rsid w:val="77031543"/>
    <w:rsid w:val="77277B70"/>
    <w:rsid w:val="7728585E"/>
    <w:rsid w:val="779A6D27"/>
    <w:rsid w:val="77CB57CE"/>
    <w:rsid w:val="77DC1CC2"/>
    <w:rsid w:val="77FE1198"/>
    <w:rsid w:val="781F6A99"/>
    <w:rsid w:val="78396600"/>
    <w:rsid w:val="78450BF6"/>
    <w:rsid w:val="788A42DE"/>
    <w:rsid w:val="78A07BDA"/>
    <w:rsid w:val="78CE0BEB"/>
    <w:rsid w:val="78CE5A9E"/>
    <w:rsid w:val="79083BF1"/>
    <w:rsid w:val="79147A13"/>
    <w:rsid w:val="791D747D"/>
    <w:rsid w:val="79357BAB"/>
    <w:rsid w:val="793842B6"/>
    <w:rsid w:val="793B5A2A"/>
    <w:rsid w:val="79500FB3"/>
    <w:rsid w:val="79552A43"/>
    <w:rsid w:val="79810BBA"/>
    <w:rsid w:val="799D28EC"/>
    <w:rsid w:val="79B46D80"/>
    <w:rsid w:val="79B778D1"/>
    <w:rsid w:val="79C503BE"/>
    <w:rsid w:val="79E8195E"/>
    <w:rsid w:val="7A2119C7"/>
    <w:rsid w:val="7A2F6FE3"/>
    <w:rsid w:val="7A666C01"/>
    <w:rsid w:val="7A9814B1"/>
    <w:rsid w:val="7AB45BBF"/>
    <w:rsid w:val="7ABE6A3D"/>
    <w:rsid w:val="7B073F40"/>
    <w:rsid w:val="7B2427F8"/>
    <w:rsid w:val="7B4506A2"/>
    <w:rsid w:val="7B4927AB"/>
    <w:rsid w:val="7B54755F"/>
    <w:rsid w:val="7B67193C"/>
    <w:rsid w:val="7B74690F"/>
    <w:rsid w:val="7B8F7C37"/>
    <w:rsid w:val="7B9B0B2D"/>
    <w:rsid w:val="7B9D6653"/>
    <w:rsid w:val="7BA70A18"/>
    <w:rsid w:val="7BB12C18"/>
    <w:rsid w:val="7BD47429"/>
    <w:rsid w:val="7C2260C2"/>
    <w:rsid w:val="7C292E0D"/>
    <w:rsid w:val="7C3C2A3F"/>
    <w:rsid w:val="7C4C4C6F"/>
    <w:rsid w:val="7C547659"/>
    <w:rsid w:val="7C5E4034"/>
    <w:rsid w:val="7C705B15"/>
    <w:rsid w:val="7C7A1AE2"/>
    <w:rsid w:val="7CAD47C1"/>
    <w:rsid w:val="7CB11B6C"/>
    <w:rsid w:val="7CC53A7A"/>
    <w:rsid w:val="7CC82A4C"/>
    <w:rsid w:val="7D00471E"/>
    <w:rsid w:val="7D493485"/>
    <w:rsid w:val="7D5E5C0B"/>
    <w:rsid w:val="7D8D7B32"/>
    <w:rsid w:val="7DAE4B47"/>
    <w:rsid w:val="7DEB5D9B"/>
    <w:rsid w:val="7DFB58B2"/>
    <w:rsid w:val="7E0C7AC0"/>
    <w:rsid w:val="7E1B2377"/>
    <w:rsid w:val="7E2C28DA"/>
    <w:rsid w:val="7E492AC2"/>
    <w:rsid w:val="7E5E656D"/>
    <w:rsid w:val="7E6416AA"/>
    <w:rsid w:val="7E976222"/>
    <w:rsid w:val="7E9F4C07"/>
    <w:rsid w:val="7ECD4046"/>
    <w:rsid w:val="7F2A28F3"/>
    <w:rsid w:val="7F780DE1"/>
    <w:rsid w:val="7FC40652"/>
    <w:rsid w:val="7FE44850"/>
    <w:rsid w:val="7FFA0667"/>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99" w:semiHidden="0" w:name="toc 2"/>
    <w:lsdException w:qFormat="1" w:unhideWhenUsed="0" w:uiPriority="9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35"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ocked="1"/>
    <w:lsdException w:unhideWhenUsed="0" w:uiPriority="0" w:semiHidden="0" w:name="Closing"/>
    <w:lsdException w:unhideWhenUsed="0" w:uiPriority="0" w:semiHidden="0" w:name="Signature"/>
    <w:lsdException w:qFormat="1" w:unhideWhenUsed="0" w:uiPriority="99"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ocked="1"/>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ocked="1"/>
    <w:lsdException w:qFormat="1" w:unhideWhenUsed="0" w:uiPriority="20" w:semiHidden="0" w:name="Emphasis" w:locked="1"/>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djustRightInd w:val="0"/>
      <w:snapToGrid w:val="0"/>
      <w:textAlignment w:val="baseline"/>
    </w:pPr>
    <w:rPr>
      <w:rFonts w:ascii="Times New Roman" w:hAnsi="Times New Roman" w:eastAsia="宋体" w:cs="宋体"/>
      <w:color w:val="000000"/>
      <w:kern w:val="0"/>
      <w:sz w:val="24"/>
      <w:szCs w:val="21"/>
      <w:lang w:val="en-US" w:eastAsia="zh-CN" w:bidi="ar-SA"/>
    </w:rPr>
  </w:style>
  <w:style w:type="paragraph" w:styleId="3">
    <w:name w:val="heading 1"/>
    <w:basedOn w:val="1"/>
    <w:next w:val="1"/>
    <w:link w:val="24"/>
    <w:autoRedefine/>
    <w:qFormat/>
    <w:uiPriority w:val="99"/>
    <w:pPr>
      <w:keepNext/>
      <w:keepLines/>
      <w:spacing w:before="40" w:after="40" w:line="360" w:lineRule="auto"/>
      <w:jc w:val="center"/>
      <w:outlineLvl w:val="0"/>
    </w:pPr>
    <w:rPr>
      <w:rFonts w:ascii="黑体" w:hAnsi="黑体" w:eastAsia="黑体"/>
      <w:b/>
      <w:bCs/>
      <w:kern w:val="44"/>
      <w:sz w:val="32"/>
      <w:szCs w:val="32"/>
    </w:rPr>
  </w:style>
  <w:style w:type="paragraph" w:styleId="4">
    <w:name w:val="heading 2"/>
    <w:basedOn w:val="1"/>
    <w:next w:val="1"/>
    <w:link w:val="25"/>
    <w:autoRedefine/>
    <w:qFormat/>
    <w:uiPriority w:val="99"/>
    <w:pPr>
      <w:keepNext/>
      <w:keepLines/>
      <w:spacing w:before="40" w:after="40" w:line="360" w:lineRule="auto"/>
      <w:ind w:firstLine="480" w:firstLineChars="200"/>
      <w:outlineLvl w:val="1"/>
    </w:pPr>
    <w:rPr>
      <w:b/>
    </w:rPr>
  </w:style>
  <w:style w:type="paragraph" w:styleId="5">
    <w:name w:val="heading 3"/>
    <w:basedOn w:val="1"/>
    <w:next w:val="1"/>
    <w:link w:val="26"/>
    <w:qFormat/>
    <w:uiPriority w:val="99"/>
    <w:pPr>
      <w:keepNext/>
      <w:keepLines/>
      <w:spacing w:before="260" w:after="260" w:line="416" w:lineRule="auto"/>
      <w:outlineLvl w:val="2"/>
    </w:pPr>
    <w:rPr>
      <w:b/>
      <w:bCs/>
      <w:sz w:val="32"/>
      <w:szCs w:val="32"/>
    </w:rPr>
  </w:style>
  <w:style w:type="character" w:default="1" w:styleId="21">
    <w:name w:val="Default Paragraph Font"/>
    <w:semiHidden/>
    <w:qFormat/>
    <w:uiPriority w:val="99"/>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8"/>
    <w:qFormat/>
    <w:uiPriority w:val="99"/>
    <w:pPr>
      <w:spacing w:line="360" w:lineRule="auto"/>
      <w:ind w:firstLine="480" w:firstLineChars="200"/>
    </w:pPr>
    <w:rPr>
      <w:rFonts w:cs="Times New Roman"/>
      <w:szCs w:val="20"/>
    </w:rPr>
  </w:style>
  <w:style w:type="paragraph" w:styleId="6">
    <w:name w:val="annotation text"/>
    <w:basedOn w:val="1"/>
    <w:link w:val="27"/>
    <w:qFormat/>
    <w:uiPriority w:val="99"/>
  </w:style>
  <w:style w:type="paragraph" w:styleId="7">
    <w:name w:val="Body Text Indent"/>
    <w:basedOn w:val="1"/>
    <w:link w:val="30"/>
    <w:qFormat/>
    <w:uiPriority w:val="99"/>
    <w:pPr>
      <w:overflowPunct w:val="0"/>
      <w:spacing w:line="360" w:lineRule="auto"/>
      <w:ind w:firstLine="480" w:firstLineChars="200"/>
    </w:pPr>
    <w:rPr>
      <w:rFonts w:eastAsia="仿宋_GB2312" w:cs="Times New Roman"/>
      <w:szCs w:val="24"/>
    </w:rPr>
  </w:style>
  <w:style w:type="paragraph" w:styleId="8">
    <w:name w:val="toc 3"/>
    <w:basedOn w:val="1"/>
    <w:next w:val="1"/>
    <w:qFormat/>
    <w:uiPriority w:val="99"/>
    <w:pPr>
      <w:ind w:left="840" w:leftChars="400"/>
    </w:pPr>
  </w:style>
  <w:style w:type="paragraph" w:styleId="9">
    <w:name w:val="Balloon Text"/>
    <w:basedOn w:val="1"/>
    <w:link w:val="31"/>
    <w:qFormat/>
    <w:uiPriority w:val="99"/>
    <w:rPr>
      <w:sz w:val="18"/>
      <w:szCs w:val="18"/>
    </w:rPr>
  </w:style>
  <w:style w:type="paragraph" w:styleId="10">
    <w:name w:val="footer"/>
    <w:basedOn w:val="1"/>
    <w:link w:val="32"/>
    <w:qFormat/>
    <w:uiPriority w:val="99"/>
    <w:pPr>
      <w:tabs>
        <w:tab w:val="center" w:pos="4153"/>
        <w:tab w:val="right" w:pos="8306"/>
      </w:tabs>
    </w:pPr>
    <w:rPr>
      <w:sz w:val="18"/>
    </w:rPr>
  </w:style>
  <w:style w:type="paragraph" w:styleId="11">
    <w:name w:val="header"/>
    <w:basedOn w:val="1"/>
    <w:link w:val="33"/>
    <w:qFormat/>
    <w:uiPriority w:val="99"/>
    <w:pPr>
      <w:pBdr>
        <w:bottom w:val="single" w:color="auto" w:sz="6" w:space="1"/>
      </w:pBdr>
      <w:tabs>
        <w:tab w:val="center" w:pos="4153"/>
        <w:tab w:val="right" w:pos="8306"/>
      </w:tabs>
      <w:jc w:val="center"/>
    </w:pPr>
    <w:rPr>
      <w:sz w:val="18"/>
      <w:szCs w:val="18"/>
    </w:rPr>
  </w:style>
  <w:style w:type="paragraph" w:styleId="12">
    <w:name w:val="toc 1"/>
    <w:basedOn w:val="1"/>
    <w:next w:val="1"/>
    <w:qFormat/>
    <w:uiPriority w:val="99"/>
  </w:style>
  <w:style w:type="paragraph" w:styleId="13">
    <w:name w:val="toc 2"/>
    <w:basedOn w:val="1"/>
    <w:next w:val="1"/>
    <w:qFormat/>
    <w:uiPriority w:val="99"/>
    <w:pPr>
      <w:ind w:left="420" w:leftChars="200"/>
    </w:pPr>
  </w:style>
  <w:style w:type="paragraph" w:styleId="14">
    <w:name w:val="Body Text 2"/>
    <w:basedOn w:val="1"/>
    <w:link w:val="29"/>
    <w:qFormat/>
    <w:uiPriority w:val="99"/>
    <w:pPr>
      <w:overflowPunct w:val="0"/>
    </w:pPr>
    <w:rPr>
      <w:rFonts w:ascii="宋体" w:hAnsi="宋体" w:cs="Times New Roman"/>
      <w:szCs w:val="24"/>
    </w:rPr>
  </w:style>
  <w:style w:type="paragraph" w:styleId="15">
    <w:name w:val="Normal (Web)"/>
    <w:basedOn w:val="1"/>
    <w:qFormat/>
    <w:uiPriority w:val="99"/>
    <w:pPr>
      <w:kinsoku/>
      <w:adjustRightInd/>
      <w:snapToGrid/>
      <w:spacing w:before="100" w:beforeAutospacing="1" w:after="100" w:afterAutospacing="1"/>
      <w:textAlignment w:val="auto"/>
    </w:pPr>
    <w:rPr>
      <w:rFonts w:ascii="宋体" w:hAnsi="宋体"/>
      <w:color w:val="auto"/>
      <w:szCs w:val="24"/>
    </w:rPr>
  </w:style>
  <w:style w:type="paragraph" w:styleId="16">
    <w:name w:val="annotation subject"/>
    <w:basedOn w:val="6"/>
    <w:next w:val="6"/>
    <w:link w:val="34"/>
    <w:qFormat/>
    <w:uiPriority w:val="99"/>
    <w:rPr>
      <w:b/>
      <w:bCs/>
    </w:rPr>
  </w:style>
  <w:style w:type="paragraph" w:styleId="17">
    <w:name w:val="Body Text First Indent"/>
    <w:basedOn w:val="2"/>
    <w:next w:val="18"/>
    <w:link w:val="35"/>
    <w:qFormat/>
    <w:uiPriority w:val="99"/>
    <w:pPr>
      <w:overflowPunct w:val="0"/>
      <w:ind w:firstLine="420" w:firstLineChars="100"/>
    </w:pPr>
  </w:style>
  <w:style w:type="paragraph" w:styleId="18">
    <w:name w:val="Body Text First Indent 2"/>
    <w:basedOn w:val="7"/>
    <w:link w:val="36"/>
    <w:qFormat/>
    <w:uiPriority w:val="99"/>
    <w:pPr>
      <w:overflowPunct/>
      <w:spacing w:after="120" w:line="240" w:lineRule="auto"/>
      <w:ind w:left="420" w:leftChars="200" w:firstLine="420"/>
    </w:pPr>
    <w:rPr>
      <w:rFonts w:eastAsia="宋体"/>
      <w:sz w:val="21"/>
    </w:rPr>
  </w:style>
  <w:style w:type="table" w:styleId="20">
    <w:name w:val="Table Grid"/>
    <w:basedOn w:val="19"/>
    <w:semiHidden/>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Hyperlink"/>
    <w:basedOn w:val="21"/>
    <w:qFormat/>
    <w:uiPriority w:val="99"/>
    <w:rPr>
      <w:rFonts w:cs="Times New Roman"/>
      <w:color w:val="0000FF"/>
      <w:u w:val="single"/>
    </w:rPr>
  </w:style>
  <w:style w:type="character" w:styleId="23">
    <w:name w:val="annotation reference"/>
    <w:basedOn w:val="21"/>
    <w:qFormat/>
    <w:uiPriority w:val="99"/>
    <w:rPr>
      <w:rFonts w:cs="Times New Roman"/>
      <w:sz w:val="21"/>
      <w:szCs w:val="21"/>
    </w:rPr>
  </w:style>
  <w:style w:type="character" w:customStyle="1" w:styleId="24">
    <w:name w:val="Heading 1 Char"/>
    <w:basedOn w:val="21"/>
    <w:link w:val="3"/>
    <w:qFormat/>
    <w:locked/>
    <w:uiPriority w:val="99"/>
    <w:rPr>
      <w:rFonts w:ascii="黑体" w:hAnsi="黑体" w:eastAsia="黑体" w:cs="宋体"/>
      <w:b/>
      <w:bCs/>
      <w:snapToGrid w:val="0"/>
      <w:color w:val="000000"/>
      <w:kern w:val="44"/>
      <w:sz w:val="32"/>
      <w:szCs w:val="32"/>
    </w:rPr>
  </w:style>
  <w:style w:type="character" w:customStyle="1" w:styleId="25">
    <w:name w:val="Heading 2 Char"/>
    <w:basedOn w:val="21"/>
    <w:link w:val="4"/>
    <w:semiHidden/>
    <w:qFormat/>
    <w:uiPriority w:val="9"/>
    <w:rPr>
      <w:rFonts w:asciiTheme="majorHAnsi" w:hAnsiTheme="majorHAnsi" w:eastAsiaTheme="majorEastAsia" w:cstheme="majorBidi"/>
      <w:b/>
      <w:bCs/>
      <w:color w:val="000000"/>
      <w:kern w:val="0"/>
      <w:sz w:val="32"/>
      <w:szCs w:val="32"/>
    </w:rPr>
  </w:style>
  <w:style w:type="character" w:customStyle="1" w:styleId="26">
    <w:name w:val="Heading 3 Char"/>
    <w:basedOn w:val="21"/>
    <w:link w:val="5"/>
    <w:semiHidden/>
    <w:qFormat/>
    <w:locked/>
    <w:uiPriority w:val="99"/>
    <w:rPr>
      <w:rFonts w:cs="宋体"/>
      <w:b/>
      <w:bCs/>
      <w:snapToGrid w:val="0"/>
      <w:color w:val="000000"/>
      <w:sz w:val="32"/>
      <w:szCs w:val="32"/>
    </w:rPr>
  </w:style>
  <w:style w:type="character" w:customStyle="1" w:styleId="27">
    <w:name w:val="Comment Text Char"/>
    <w:basedOn w:val="21"/>
    <w:link w:val="6"/>
    <w:qFormat/>
    <w:locked/>
    <w:uiPriority w:val="99"/>
    <w:rPr>
      <w:rFonts w:ascii="Arial" w:hAnsi="Arial" w:eastAsia="Times New Roman" w:cs="Arial"/>
      <w:snapToGrid w:val="0"/>
      <w:color w:val="000000"/>
      <w:sz w:val="21"/>
      <w:szCs w:val="21"/>
    </w:rPr>
  </w:style>
  <w:style w:type="character" w:customStyle="1" w:styleId="28">
    <w:name w:val="Body Text Char"/>
    <w:basedOn w:val="21"/>
    <w:link w:val="2"/>
    <w:qFormat/>
    <w:locked/>
    <w:uiPriority w:val="99"/>
    <w:rPr>
      <w:rFonts w:cs="Times New Roman"/>
      <w:snapToGrid w:val="0"/>
      <w:color w:val="000000"/>
      <w:sz w:val="24"/>
    </w:rPr>
  </w:style>
  <w:style w:type="character" w:customStyle="1" w:styleId="29">
    <w:name w:val="Body Text 2 Char"/>
    <w:basedOn w:val="21"/>
    <w:link w:val="14"/>
    <w:qFormat/>
    <w:locked/>
    <w:uiPriority w:val="99"/>
    <w:rPr>
      <w:rFonts w:ascii="宋体" w:eastAsia="宋体" w:cs="Times New Roman"/>
      <w:snapToGrid w:val="0"/>
      <w:color w:val="000000"/>
      <w:sz w:val="24"/>
      <w:szCs w:val="24"/>
    </w:rPr>
  </w:style>
  <w:style w:type="character" w:customStyle="1" w:styleId="30">
    <w:name w:val="Body Text Indent Char"/>
    <w:basedOn w:val="21"/>
    <w:link w:val="7"/>
    <w:semiHidden/>
    <w:qFormat/>
    <w:uiPriority w:val="99"/>
    <w:rPr>
      <w:rFonts w:cs="宋体"/>
      <w:color w:val="000000"/>
      <w:kern w:val="0"/>
      <w:sz w:val="24"/>
      <w:szCs w:val="21"/>
    </w:rPr>
  </w:style>
  <w:style w:type="character" w:customStyle="1" w:styleId="31">
    <w:name w:val="Balloon Text Char"/>
    <w:basedOn w:val="21"/>
    <w:link w:val="9"/>
    <w:qFormat/>
    <w:locked/>
    <w:uiPriority w:val="99"/>
    <w:rPr>
      <w:rFonts w:ascii="Arial" w:hAnsi="Arial" w:eastAsia="Times New Roman" w:cs="Arial"/>
      <w:snapToGrid w:val="0"/>
      <w:color w:val="000000"/>
      <w:sz w:val="18"/>
      <w:szCs w:val="18"/>
    </w:rPr>
  </w:style>
  <w:style w:type="character" w:customStyle="1" w:styleId="32">
    <w:name w:val="Footer Char"/>
    <w:basedOn w:val="21"/>
    <w:link w:val="10"/>
    <w:semiHidden/>
    <w:qFormat/>
    <w:uiPriority w:val="99"/>
    <w:rPr>
      <w:rFonts w:cs="宋体"/>
      <w:color w:val="000000"/>
      <w:kern w:val="0"/>
      <w:sz w:val="18"/>
      <w:szCs w:val="18"/>
    </w:rPr>
  </w:style>
  <w:style w:type="character" w:customStyle="1" w:styleId="33">
    <w:name w:val="Header Char"/>
    <w:basedOn w:val="21"/>
    <w:link w:val="11"/>
    <w:semiHidden/>
    <w:qFormat/>
    <w:uiPriority w:val="99"/>
    <w:rPr>
      <w:rFonts w:cs="宋体"/>
      <w:color w:val="000000"/>
      <w:kern w:val="0"/>
      <w:sz w:val="18"/>
      <w:szCs w:val="18"/>
    </w:rPr>
  </w:style>
  <w:style w:type="character" w:customStyle="1" w:styleId="34">
    <w:name w:val="Comment Subject Char"/>
    <w:basedOn w:val="27"/>
    <w:link w:val="16"/>
    <w:qFormat/>
    <w:locked/>
    <w:uiPriority w:val="99"/>
    <w:rPr>
      <w:b/>
      <w:bCs/>
    </w:rPr>
  </w:style>
  <w:style w:type="character" w:customStyle="1" w:styleId="35">
    <w:name w:val="Body Text First Indent Char"/>
    <w:basedOn w:val="21"/>
    <w:link w:val="17"/>
    <w:qFormat/>
    <w:locked/>
    <w:uiPriority w:val="99"/>
    <w:rPr>
      <w:rFonts w:hAnsi="Arial" w:eastAsia="Times New Roman" w:cs="Times New Roman"/>
      <w:snapToGrid w:val="0"/>
      <w:color w:val="000000"/>
      <w:sz w:val="24"/>
    </w:rPr>
  </w:style>
  <w:style w:type="character" w:customStyle="1" w:styleId="36">
    <w:name w:val="Body Text First Indent 2 Char"/>
    <w:basedOn w:val="30"/>
    <w:link w:val="18"/>
    <w:semiHidden/>
    <w:qFormat/>
    <w:uiPriority w:val="99"/>
  </w:style>
  <w:style w:type="paragraph" w:customStyle="1" w:styleId="37">
    <w:name w:val="Default"/>
    <w:next w:val="1"/>
    <w:qFormat/>
    <w:uiPriority w:val="99"/>
    <w:pPr>
      <w:widowControl w:val="0"/>
      <w:autoSpaceDE w:val="0"/>
      <w:autoSpaceDN w:val="0"/>
      <w:adjustRightInd w:val="0"/>
    </w:pPr>
    <w:rPr>
      <w:rFonts w:ascii="Arial" w:hAnsi="Arial" w:eastAsia="宋体" w:cs="Arial"/>
      <w:color w:val="000000"/>
      <w:kern w:val="0"/>
      <w:sz w:val="24"/>
      <w:szCs w:val="24"/>
      <w:lang w:val="en-US" w:eastAsia="zh-CN" w:bidi="ar-SA"/>
    </w:rPr>
  </w:style>
  <w:style w:type="table" w:customStyle="1" w:styleId="38">
    <w:name w:val="Table Normal1"/>
    <w:semiHidden/>
    <w:qFormat/>
    <w:uiPriority w:val="99"/>
    <w:rPr>
      <w:kern w:val="0"/>
      <w:sz w:val="20"/>
      <w:szCs w:val="20"/>
    </w:rPr>
    <w:tblPr>
      <w:tblCellMar>
        <w:top w:w="0" w:type="dxa"/>
        <w:left w:w="0" w:type="dxa"/>
        <w:bottom w:w="0" w:type="dxa"/>
        <w:right w:w="0" w:type="dxa"/>
      </w:tblCellMar>
    </w:tblPr>
  </w:style>
  <w:style w:type="paragraph" w:customStyle="1" w:styleId="39">
    <w:name w:val="WPSOffice手动目录 1"/>
    <w:qFormat/>
    <w:uiPriority w:val="99"/>
    <w:rPr>
      <w:rFonts w:ascii="Arial" w:hAnsi="Arial" w:eastAsia="宋体" w:cs="Arial"/>
      <w:kern w:val="0"/>
      <w:sz w:val="20"/>
      <w:szCs w:val="20"/>
      <w:lang w:val="en-US" w:eastAsia="zh-CN" w:bidi="ar-SA"/>
    </w:rPr>
  </w:style>
  <w:style w:type="paragraph" w:customStyle="1" w:styleId="40">
    <w:name w:val="WPSOffice手动目录 2"/>
    <w:qFormat/>
    <w:uiPriority w:val="99"/>
    <w:pPr>
      <w:ind w:left="200" w:leftChars="200"/>
    </w:pPr>
    <w:rPr>
      <w:rFonts w:ascii="Arial" w:hAnsi="Arial" w:eastAsia="宋体" w:cs="Arial"/>
      <w:kern w:val="0"/>
      <w:sz w:val="20"/>
      <w:szCs w:val="20"/>
      <w:lang w:val="en-US" w:eastAsia="zh-CN" w:bidi="ar-SA"/>
    </w:rPr>
  </w:style>
  <w:style w:type="paragraph" w:customStyle="1" w:styleId="41">
    <w:name w:val="WPSOffice手动目录 3"/>
    <w:qFormat/>
    <w:uiPriority w:val="99"/>
    <w:pPr>
      <w:ind w:left="400" w:leftChars="400"/>
    </w:pPr>
    <w:rPr>
      <w:rFonts w:ascii="Arial" w:hAnsi="Arial" w:eastAsia="宋体" w:cs="Arial"/>
      <w:kern w:val="0"/>
      <w:sz w:val="20"/>
      <w:szCs w:val="20"/>
      <w:lang w:val="en-US" w:eastAsia="zh-CN" w:bidi="ar-SA"/>
    </w:rPr>
  </w:style>
  <w:style w:type="paragraph" w:styleId="42">
    <w:name w:val="List Paragraph"/>
    <w:basedOn w:val="1"/>
    <w:qFormat/>
    <w:uiPriority w:val="99"/>
    <w:pPr>
      <w:ind w:firstLine="420" w:firstLineChars="200"/>
    </w:pPr>
  </w:style>
  <w:style w:type="character" w:customStyle="1" w:styleId="43">
    <w:name w:val="fw2"/>
    <w:basedOn w:val="21"/>
    <w:qFormat/>
    <w:uiPriority w:val="99"/>
    <w:rPr>
      <w:rFonts w:cs="Times New Roman"/>
    </w:rPr>
  </w:style>
  <w:style w:type="paragraph" w:customStyle="1" w:styleId="44">
    <w:name w:val="ha1"/>
    <w:basedOn w:val="1"/>
    <w:qFormat/>
    <w:uiPriority w:val="99"/>
    <w:pPr>
      <w:kinsoku/>
      <w:adjustRightInd/>
      <w:snapToGrid/>
      <w:spacing w:before="100" w:beforeAutospacing="1" w:after="100" w:afterAutospacing="1"/>
      <w:textAlignment w:val="auto"/>
    </w:pPr>
    <w:rPr>
      <w:rFonts w:ascii="宋体" w:hAnsi="宋体"/>
      <w:color w:val="auto"/>
      <w:szCs w:val="24"/>
    </w:rPr>
  </w:style>
  <w:style w:type="paragraph" w:customStyle="1" w:styleId="45">
    <w:name w:val="Table Paragraph"/>
    <w:basedOn w:val="1"/>
    <w:qFormat/>
    <w:uiPriority w:val="99"/>
    <w:pPr>
      <w:autoSpaceDE w:val="0"/>
      <w:autoSpaceDN w:val="0"/>
      <w:jc w:val="center"/>
    </w:pPr>
    <w:rPr>
      <w:rFonts w:ascii="仿宋" w:hAnsi="仿宋" w:cs="仿宋"/>
      <w:sz w:val="21"/>
      <w:lang w:val="zh-CN"/>
    </w:rPr>
  </w:style>
  <w:style w:type="paragraph" w:customStyle="1" w:styleId="46">
    <w:name w:val="表格样式"/>
    <w:basedOn w:val="1"/>
    <w:qFormat/>
    <w:uiPriority w:val="99"/>
    <w:pPr>
      <w:widowControl w:val="0"/>
      <w:autoSpaceDE w:val="0"/>
      <w:autoSpaceDN w:val="0"/>
      <w:jc w:val="center"/>
    </w:pPr>
    <w:rPr>
      <w:rFonts w:ascii="宋体" w:hAnsi="宋体"/>
      <w:color w:val="auto"/>
      <w:sz w:val="21"/>
    </w:rPr>
  </w:style>
  <w:style w:type="character" w:customStyle="1" w:styleId="47">
    <w:name w:val="未处理的提及1"/>
    <w:basedOn w:val="21"/>
    <w:semiHidden/>
    <w:qFormat/>
    <w:uiPriority w:val="99"/>
    <w:rPr>
      <w:rFonts w:cs="Times New Roman"/>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microsoft.com/office/2006/relationships/keyMapCustomizations" Target="customization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7</Pages>
  <Words>2503</Words>
  <Characters>2660</Characters>
  <Lines>0</Lines>
  <Paragraphs>0</Paragraphs>
  <TotalTime>0</TotalTime>
  <ScaleCrop>false</ScaleCrop>
  <LinksUpToDate>false</LinksUpToDate>
  <CharactersWithSpaces>2851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2026-08-05T01:57:00Z</dcterms:created>
  <dc:creator>Kingsoft-PDF</dc:creator>
  <cp:lastModifiedBy>aicc.</cp:lastModifiedBy>
  <cp:lastPrinted>2026-08-07T02:34:00Z</cp:lastPrinted>
  <dcterms:modified xsi:type="dcterms:W3CDTF">2026-08-23T02:08:27Z</dcterms:modified>
  <dc:subject>pdfbuilder</dc:subject>
  <dc:title>顺和煤矿物资采购立项申请表</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UsrData">
    <vt:lpwstr>6498f8bd7ac359001fd97666wl</vt:lpwstr>
  </property>
  <property fmtid="{D5CDD505-2E9C-101B-9397-08002B2CF9AE}" pid="4" name="KSOProductBuildVer">
    <vt:lpwstr>2052-12.1.0.28043</vt:lpwstr>
  </property>
  <property fmtid="{D5CDD505-2E9C-101B-9397-08002B2CF9AE}" pid="5" name="ICV">
    <vt:lpwstr>E628CFB0FB9E4EC7B7744DBE73FE7F7A_13</vt:lpwstr>
  </property>
  <property fmtid="{D5CDD505-2E9C-101B-9397-08002B2CF9AE}" pid="6" name="KSOTemplateDocerSaveRecord">
    <vt:lpwstr>eyJoZGlkIjoiMTJmNjUxY2Q5YTMwMWE2MzgwN2U0MzQyYjVhNzYxODYiLCJ1c2VySWQiOiIxMjIxNzY1MzQyIn0=</vt:lpwstr>
  </property>
</Properties>
</file>