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551457">
      <w:pPr>
        <w:spacing w:after="156" w:line="360" w:lineRule="auto"/>
        <w:rPr>
          <w:rFonts w:asciiTheme="minorEastAsia" w:hAnsiTheme="minorEastAsia" w:eastAsiaTheme="minorEastAsia"/>
          <w:b/>
          <w:sz w:val="24"/>
        </w:rPr>
      </w:pPr>
    </w:p>
    <w:p w14:paraId="0AAAB661">
      <w:pPr>
        <w:spacing w:after="156" w:line="360" w:lineRule="auto"/>
        <w:rPr>
          <w:rFonts w:asciiTheme="minorEastAsia" w:hAnsiTheme="minorEastAsia" w:eastAsiaTheme="minorEastAsia"/>
          <w:sz w:val="24"/>
        </w:rPr>
      </w:pPr>
    </w:p>
    <w:p w14:paraId="3F7B4C1B">
      <w:pPr>
        <w:spacing w:after="156" w:line="360" w:lineRule="auto"/>
        <w:jc w:val="center"/>
        <w:rPr>
          <w:rFonts w:asciiTheme="minorEastAsia" w:hAnsiTheme="minorEastAsia" w:eastAsiaTheme="minorEastAsia"/>
          <w:b/>
          <w:sz w:val="24"/>
        </w:rPr>
      </w:pPr>
    </w:p>
    <w:p w14:paraId="2DE5EC77">
      <w:pPr>
        <w:spacing w:after="156" w:line="360" w:lineRule="auto"/>
        <w:jc w:val="center"/>
        <w:rPr>
          <w:rFonts w:asciiTheme="minorEastAsia" w:hAnsiTheme="minorEastAsia" w:eastAsiaTheme="minorEastAsia"/>
          <w:b/>
          <w:sz w:val="32"/>
          <w:szCs w:val="32"/>
        </w:rPr>
      </w:pPr>
    </w:p>
    <w:p w14:paraId="5CEB6177">
      <w:pPr>
        <w:spacing w:line="360" w:lineRule="auto"/>
        <w:jc w:val="center"/>
        <w:rPr>
          <w:rFonts w:ascii="宋体" w:hAnsi="宋体"/>
          <w:sz w:val="36"/>
          <w:szCs w:val="36"/>
        </w:rPr>
      </w:pPr>
      <w:r>
        <w:rPr>
          <w:rFonts w:hint="eastAsia" w:asciiTheme="minorEastAsia" w:hAnsiTheme="minorEastAsia" w:eastAsiaTheme="minorEastAsia"/>
          <w:b/>
          <w:sz w:val="32"/>
          <w:szCs w:val="32"/>
        </w:rPr>
        <w:t>顺和煤矿矿用阻燃本安电路接线盒</w:t>
      </w:r>
    </w:p>
    <w:p w14:paraId="38732E0A">
      <w:pPr>
        <w:spacing w:after="156" w:line="360" w:lineRule="auto"/>
        <w:jc w:val="center"/>
        <w:rPr>
          <w:rFonts w:asciiTheme="minorEastAsia" w:hAnsiTheme="minorEastAsia" w:eastAsiaTheme="minorEastAsia"/>
          <w:b/>
          <w:sz w:val="32"/>
          <w:szCs w:val="32"/>
        </w:rPr>
      </w:pPr>
    </w:p>
    <w:p w14:paraId="08425F87">
      <w:pPr>
        <w:spacing w:after="156" w:line="360" w:lineRule="auto"/>
        <w:jc w:val="center"/>
        <w:rPr>
          <w:rFonts w:asciiTheme="minorEastAsia" w:hAnsiTheme="minorEastAsia" w:eastAsiaTheme="minorEastAsia"/>
          <w:b/>
          <w:sz w:val="32"/>
          <w:szCs w:val="32"/>
        </w:rPr>
      </w:pPr>
      <w:r>
        <w:rPr>
          <w:rFonts w:hint="eastAsia" w:asciiTheme="minorEastAsia" w:hAnsiTheme="minorEastAsia" w:eastAsiaTheme="minorEastAsia"/>
          <w:b/>
          <w:sz w:val="32"/>
          <w:szCs w:val="32"/>
        </w:rPr>
        <w:t>技术要求</w:t>
      </w:r>
    </w:p>
    <w:p w14:paraId="71246F44">
      <w:pPr>
        <w:spacing w:after="156" w:line="360" w:lineRule="auto"/>
        <w:rPr>
          <w:rFonts w:asciiTheme="minorEastAsia" w:hAnsiTheme="minorEastAsia" w:eastAsiaTheme="minorEastAsia"/>
          <w:b/>
          <w:sz w:val="24"/>
        </w:rPr>
      </w:pPr>
    </w:p>
    <w:p w14:paraId="481B1072">
      <w:pPr>
        <w:spacing w:after="156" w:line="360" w:lineRule="auto"/>
        <w:jc w:val="center"/>
        <w:rPr>
          <w:rFonts w:asciiTheme="minorEastAsia" w:hAnsiTheme="minorEastAsia" w:eastAsiaTheme="minorEastAsia"/>
          <w:b/>
          <w:sz w:val="24"/>
        </w:rPr>
      </w:pPr>
    </w:p>
    <w:p w14:paraId="7C2AA577">
      <w:pPr>
        <w:spacing w:after="156" w:line="360" w:lineRule="auto"/>
        <w:jc w:val="center"/>
        <w:rPr>
          <w:rFonts w:asciiTheme="minorEastAsia" w:hAnsiTheme="minorEastAsia" w:eastAsiaTheme="minorEastAsia"/>
          <w:b/>
          <w:sz w:val="24"/>
        </w:rPr>
      </w:pPr>
    </w:p>
    <w:p w14:paraId="2C6B5506">
      <w:pPr>
        <w:spacing w:after="156" w:line="360" w:lineRule="auto"/>
        <w:jc w:val="center"/>
        <w:rPr>
          <w:rFonts w:asciiTheme="minorEastAsia" w:hAnsiTheme="minorEastAsia" w:eastAsiaTheme="minorEastAsia"/>
          <w:b/>
          <w:sz w:val="24"/>
        </w:rPr>
      </w:pPr>
    </w:p>
    <w:p w14:paraId="1C2D7EA2">
      <w:pPr>
        <w:spacing w:after="156" w:line="360" w:lineRule="auto"/>
        <w:jc w:val="center"/>
        <w:rPr>
          <w:rFonts w:asciiTheme="minorEastAsia" w:hAnsiTheme="minorEastAsia" w:eastAsiaTheme="minorEastAsia"/>
          <w:b/>
          <w:sz w:val="24"/>
        </w:rPr>
      </w:pPr>
    </w:p>
    <w:p w14:paraId="654FFE01">
      <w:pPr>
        <w:spacing w:line="360" w:lineRule="auto"/>
        <w:ind w:left="2200" w:leftChars="1000"/>
        <w:rPr>
          <w:rFonts w:asciiTheme="minorEastAsia" w:hAnsiTheme="minorEastAsia" w:eastAsiaTheme="minorEastAsia"/>
          <w:b/>
          <w:sz w:val="24"/>
        </w:rPr>
      </w:pPr>
      <w:r>
        <w:rPr>
          <w:rFonts w:hint="eastAsia" w:asciiTheme="minorEastAsia" w:hAnsiTheme="minorEastAsia" w:eastAsiaTheme="minorEastAsia"/>
          <w:b/>
          <w:sz w:val="24"/>
        </w:rPr>
        <w:t>编    制：</w:t>
      </w:r>
    </w:p>
    <w:p w14:paraId="04EFA5D7">
      <w:pPr>
        <w:spacing w:line="360" w:lineRule="auto"/>
        <w:ind w:left="2200" w:leftChars="1000"/>
        <w:rPr>
          <w:rFonts w:asciiTheme="minorEastAsia" w:hAnsiTheme="minorEastAsia" w:eastAsiaTheme="minorEastAsia"/>
          <w:b/>
          <w:sz w:val="24"/>
        </w:rPr>
      </w:pPr>
    </w:p>
    <w:p w14:paraId="5C77B438">
      <w:pPr>
        <w:spacing w:line="360" w:lineRule="auto"/>
        <w:ind w:left="2200" w:leftChars="1000"/>
        <w:rPr>
          <w:rFonts w:asciiTheme="minorEastAsia" w:hAnsiTheme="minorEastAsia" w:eastAsiaTheme="minorEastAsia"/>
          <w:b/>
          <w:sz w:val="24"/>
        </w:rPr>
      </w:pPr>
    </w:p>
    <w:p w14:paraId="4FACC85B">
      <w:pPr>
        <w:spacing w:line="360" w:lineRule="auto"/>
        <w:ind w:left="2200" w:leftChars="1000"/>
        <w:rPr>
          <w:rFonts w:asciiTheme="minorEastAsia" w:hAnsiTheme="minorEastAsia" w:eastAsiaTheme="minorEastAsia"/>
          <w:b/>
          <w:sz w:val="24"/>
        </w:rPr>
      </w:pPr>
      <w:r>
        <w:rPr>
          <w:rFonts w:hint="eastAsia" w:asciiTheme="minorEastAsia" w:hAnsiTheme="minorEastAsia" w:eastAsiaTheme="minorEastAsia"/>
          <w:b/>
          <w:sz w:val="24"/>
        </w:rPr>
        <w:t>机电副总：</w:t>
      </w:r>
    </w:p>
    <w:p w14:paraId="25DD264E">
      <w:pPr>
        <w:spacing w:after="156" w:line="360" w:lineRule="auto"/>
        <w:jc w:val="center"/>
        <w:rPr>
          <w:rFonts w:asciiTheme="minorEastAsia" w:hAnsiTheme="minorEastAsia" w:eastAsiaTheme="minorEastAsia"/>
          <w:b/>
          <w:sz w:val="24"/>
        </w:rPr>
      </w:pPr>
    </w:p>
    <w:p w14:paraId="4F0C582F">
      <w:pPr>
        <w:spacing w:after="156" w:line="360" w:lineRule="auto"/>
        <w:rPr>
          <w:rFonts w:asciiTheme="minorEastAsia" w:hAnsiTheme="minorEastAsia" w:eastAsiaTheme="minorEastAsia"/>
          <w:b/>
          <w:sz w:val="24"/>
        </w:rPr>
      </w:pPr>
    </w:p>
    <w:p w14:paraId="0632FC4A">
      <w:pPr>
        <w:spacing w:after="156" w:line="360" w:lineRule="auto"/>
        <w:jc w:val="center"/>
        <w:rPr>
          <w:rFonts w:asciiTheme="minorEastAsia" w:hAnsiTheme="minorEastAsia" w:eastAsiaTheme="minorEastAsia"/>
          <w:b/>
          <w:sz w:val="24"/>
        </w:rPr>
      </w:pPr>
      <w:r>
        <w:rPr>
          <w:rFonts w:hint="eastAsia" w:asciiTheme="minorEastAsia" w:hAnsiTheme="minorEastAsia" w:eastAsiaTheme="minorEastAsia"/>
          <w:b/>
          <w:sz w:val="24"/>
        </w:rPr>
        <w:t>二〇二五年十月</w:t>
      </w:r>
    </w:p>
    <w:p w14:paraId="3B9EEF3B">
      <w:pPr>
        <w:pStyle w:val="5"/>
        <w:tabs>
          <w:tab w:val="left" w:pos="840"/>
          <w:tab w:val="right" w:leader="dot" w:pos="9061"/>
        </w:tabs>
        <w:spacing w:line="360" w:lineRule="auto"/>
        <w:jc w:val="center"/>
        <w:rPr>
          <w:rFonts w:asciiTheme="minorEastAsia" w:hAnsiTheme="minorEastAsia" w:eastAsiaTheme="minorEastAsia"/>
          <w:b/>
          <w:sz w:val="24"/>
        </w:rPr>
        <w:sectPr>
          <w:headerReference r:id="rId7" w:type="first"/>
          <w:footerReference r:id="rId10" w:type="first"/>
          <w:headerReference r:id="rId5" w:type="default"/>
          <w:footerReference r:id="rId8" w:type="default"/>
          <w:headerReference r:id="rId6" w:type="even"/>
          <w:footerReference r:id="rId9" w:type="even"/>
          <w:pgSz w:w="11907" w:h="16840"/>
          <w:pgMar w:top="1758" w:right="1418" w:bottom="1758" w:left="1418" w:header="851" w:footer="992" w:gutter="0"/>
          <w:pgNumType w:fmt="numberInDash" w:start="1"/>
          <w:cols w:space="720" w:num="1"/>
          <w:titlePg/>
          <w:docGrid w:linePitch="312" w:charSpace="0"/>
        </w:sectPr>
      </w:pPr>
    </w:p>
    <w:p w14:paraId="2EF73DC8">
      <w:pPr>
        <w:spacing w:line="360" w:lineRule="auto"/>
        <w:jc w:val="center"/>
        <w:rPr>
          <w:rFonts w:ascii="宋体" w:hAnsi="宋体"/>
          <w:sz w:val="36"/>
          <w:szCs w:val="36"/>
        </w:rPr>
      </w:pPr>
      <w:r>
        <w:rPr>
          <w:rFonts w:hint="eastAsia" w:ascii="宋体" w:hAnsi="宋体"/>
          <w:b/>
          <w:spacing w:val="30"/>
          <w:sz w:val="36"/>
          <w:szCs w:val="36"/>
        </w:rPr>
        <w:t>矿用阻燃本安电路接线盒技术要求</w:t>
      </w:r>
    </w:p>
    <w:p w14:paraId="13A90154">
      <w:pPr>
        <w:spacing w:line="360" w:lineRule="exact"/>
        <w:rPr>
          <w:rFonts w:ascii="宋体" w:hAnsi="宋体"/>
        </w:rPr>
      </w:pPr>
    </w:p>
    <w:p w14:paraId="185853D6">
      <w:pPr>
        <w:widowControl w:val="0"/>
        <w:numPr>
          <w:ilvl w:val="0"/>
          <w:numId w:val="1"/>
        </w:numPr>
        <w:adjustRightInd/>
        <w:snapToGrid/>
        <w:spacing w:after="0"/>
        <w:ind w:hanging="318"/>
        <w:jc w:val="both"/>
        <w:rPr>
          <w:rFonts w:ascii="黑体" w:hAnsi="黑体" w:eastAsia="黑体" w:cs="黑体"/>
          <w:b/>
          <w:bCs/>
          <w:sz w:val="32"/>
          <w:szCs w:val="32"/>
        </w:rPr>
      </w:pPr>
      <w:r>
        <w:rPr>
          <w:rFonts w:hint="eastAsia" w:ascii="黑体" w:hAnsi="黑体" w:eastAsia="黑体" w:cs="黑体"/>
          <w:b/>
          <w:bCs/>
          <w:sz w:val="32"/>
          <w:szCs w:val="32"/>
        </w:rPr>
        <w:t>项目简介及使用地点</w:t>
      </w:r>
    </w:p>
    <w:p w14:paraId="2316C7E0">
      <w:pPr>
        <w:ind w:firstLine="560" w:firstLineChars="200"/>
        <w:rPr>
          <w:rFonts w:ascii="宋体" w:hAnsi="宋体" w:cs="宋体"/>
          <w:sz w:val="28"/>
          <w:szCs w:val="28"/>
        </w:rPr>
      </w:pPr>
      <w:r>
        <w:rPr>
          <w:rFonts w:hint="eastAsia" w:ascii="宋体" w:hAnsi="宋体" w:cs="宋体"/>
          <w:sz w:val="28"/>
          <w:szCs w:val="28"/>
        </w:rPr>
        <w:t>本次招标的本安电路接线盒为永煤集团股份有限公司顺和煤矿井下通信、监控设备接线用。</w:t>
      </w:r>
    </w:p>
    <w:p w14:paraId="23C6B752">
      <w:pPr>
        <w:widowControl w:val="0"/>
        <w:numPr>
          <w:ilvl w:val="0"/>
          <w:numId w:val="1"/>
        </w:numPr>
        <w:adjustRightInd/>
        <w:snapToGrid/>
        <w:spacing w:after="0"/>
        <w:ind w:left="540" w:firstLine="0"/>
        <w:jc w:val="both"/>
        <w:rPr>
          <w:rFonts w:ascii="黑体" w:hAnsi="黑体" w:eastAsia="黑体" w:cs="黑体"/>
          <w:b/>
          <w:bCs/>
          <w:sz w:val="32"/>
          <w:szCs w:val="32"/>
        </w:rPr>
      </w:pPr>
      <w:r>
        <w:rPr>
          <w:rFonts w:hint="eastAsia" w:ascii="黑体" w:hAnsi="黑体" w:eastAsia="黑体" w:cs="黑体"/>
          <w:b/>
          <w:bCs/>
          <w:sz w:val="32"/>
          <w:szCs w:val="32"/>
        </w:rPr>
        <w:t>货物名称及供货范围</w:t>
      </w:r>
    </w:p>
    <w:p w14:paraId="2F6FEA18">
      <w:pPr>
        <w:pStyle w:val="13"/>
        <w:numPr>
          <w:ilvl w:val="0"/>
          <w:numId w:val="2"/>
        </w:numPr>
        <w:ind w:firstLineChars="0"/>
        <w:rPr>
          <w:rFonts w:hint="eastAsia" w:ascii="仿宋_GB2312" w:hAnsi="仿宋_GB2312" w:eastAsia="仿宋_GB2312" w:cs="仿宋_GB2312"/>
          <w:sz w:val="32"/>
          <w:szCs w:val="32"/>
        </w:rPr>
      </w:pPr>
      <w:r>
        <w:rPr>
          <w:rFonts w:hint="eastAsia" w:ascii="楷体_GB2312" w:hAnsi="楷体_GB2312" w:eastAsia="楷体_GB2312" w:cs="楷体_GB2312"/>
          <w:b/>
          <w:bCs/>
          <w:sz w:val="32"/>
          <w:szCs w:val="32"/>
        </w:rPr>
        <w:t>货物名称：</w:t>
      </w:r>
      <w:r>
        <w:rPr>
          <w:rFonts w:hint="eastAsia" w:ascii="宋体" w:hAnsi="宋体" w:cs="宋体"/>
          <w:sz w:val="28"/>
          <w:szCs w:val="28"/>
        </w:rPr>
        <w:t>矿用本安电路接线盒</w:t>
      </w:r>
      <w:r>
        <w:rPr>
          <w:rFonts w:hint="eastAsia" w:ascii="仿宋_GB2312" w:hAnsi="仿宋_GB2312" w:eastAsia="仿宋_GB2312" w:cs="仿宋_GB2312"/>
          <w:sz w:val="32"/>
          <w:szCs w:val="32"/>
        </w:rPr>
        <w:t>。</w:t>
      </w:r>
    </w:p>
    <w:p w14:paraId="349F6D14">
      <w:pPr>
        <w:pStyle w:val="13"/>
        <w:ind w:left="1723" w:firstLine="0" w:firstLineChars="0"/>
        <w:rPr>
          <w:rFonts w:ascii="仿宋_GB2312" w:hAnsi="仿宋_GB2312" w:eastAsia="仿宋_GB2312" w:cs="仿宋_GB2312"/>
          <w:sz w:val="32"/>
          <w:szCs w:val="32"/>
        </w:rPr>
      </w:pPr>
      <w:r>
        <w:rPr>
          <w:rFonts w:hint="eastAsia" w:ascii="楷体_GB2312" w:hAnsi="楷体_GB2312" w:eastAsia="楷体_GB2312" w:cs="楷体_GB2312"/>
          <w:b/>
          <w:bCs/>
          <w:sz w:val="32"/>
          <w:szCs w:val="32"/>
        </w:rPr>
        <w:t xml:space="preserve">          矿用光缆盘纤盒</w:t>
      </w:r>
    </w:p>
    <w:p w14:paraId="5D75A80F">
      <w:pPr>
        <w:ind w:firstLine="570"/>
        <w:rPr>
          <w:rFonts w:ascii="楷体_GB2312" w:hAnsi="楷体_GB2312" w:eastAsia="楷体_GB2312" w:cs="楷体_GB2312"/>
          <w:b/>
          <w:bCs/>
          <w:sz w:val="32"/>
          <w:szCs w:val="32"/>
        </w:rPr>
      </w:pPr>
      <w:r>
        <w:rPr>
          <w:rFonts w:hint="eastAsia" w:ascii="楷体_GB2312" w:hAnsi="楷体_GB2312" w:eastAsia="楷体_GB2312" w:cs="楷体_GB2312"/>
          <w:b/>
          <w:bCs/>
          <w:sz w:val="32"/>
          <w:szCs w:val="32"/>
        </w:rPr>
        <w:t>（二）规格型号：</w:t>
      </w:r>
    </w:p>
    <w:tbl>
      <w:tblPr>
        <w:tblStyle w:val="6"/>
        <w:tblW w:w="76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0"/>
        <w:gridCol w:w="1965"/>
        <w:gridCol w:w="2468"/>
        <w:gridCol w:w="1362"/>
        <w:gridCol w:w="1289"/>
      </w:tblGrid>
      <w:tr w14:paraId="2AFD8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590" w:type="dxa"/>
            <w:vAlign w:val="center"/>
          </w:tcPr>
          <w:p w14:paraId="16193B4C">
            <w:pPr>
              <w:jc w:val="center"/>
              <w:rPr>
                <w:rFonts w:ascii="宋体" w:hAnsi="宋体" w:cs="宋体"/>
                <w:b/>
                <w:bCs/>
                <w:szCs w:val="20"/>
              </w:rPr>
            </w:pPr>
            <w:r>
              <w:rPr>
                <w:rFonts w:hint="eastAsia" w:ascii="宋体" w:hAnsi="宋体" w:cs="宋体"/>
                <w:b/>
                <w:bCs/>
                <w:szCs w:val="20"/>
              </w:rPr>
              <w:t>序号</w:t>
            </w:r>
          </w:p>
        </w:tc>
        <w:tc>
          <w:tcPr>
            <w:tcW w:w="1965" w:type="dxa"/>
            <w:vAlign w:val="center"/>
          </w:tcPr>
          <w:p w14:paraId="5BFF9722">
            <w:pPr>
              <w:jc w:val="center"/>
              <w:rPr>
                <w:rFonts w:ascii="宋体" w:hAnsi="宋体" w:cs="宋体"/>
                <w:b/>
                <w:bCs/>
                <w:szCs w:val="20"/>
              </w:rPr>
            </w:pPr>
            <w:r>
              <w:rPr>
                <w:rFonts w:hint="eastAsia" w:ascii="宋体" w:hAnsi="宋体" w:cs="宋体"/>
                <w:b/>
                <w:bCs/>
                <w:szCs w:val="20"/>
              </w:rPr>
              <w:t>物资名称</w:t>
            </w:r>
          </w:p>
        </w:tc>
        <w:tc>
          <w:tcPr>
            <w:tcW w:w="2468" w:type="dxa"/>
            <w:vAlign w:val="center"/>
          </w:tcPr>
          <w:p w14:paraId="168142FA">
            <w:pPr>
              <w:jc w:val="center"/>
              <w:rPr>
                <w:rFonts w:ascii="宋体" w:hAnsi="宋体" w:cs="宋体"/>
                <w:b/>
                <w:bCs/>
                <w:szCs w:val="20"/>
              </w:rPr>
            </w:pPr>
            <w:r>
              <w:rPr>
                <w:rFonts w:hint="eastAsia" w:ascii="宋体" w:hAnsi="宋体" w:cs="宋体"/>
                <w:b/>
                <w:bCs/>
                <w:szCs w:val="20"/>
              </w:rPr>
              <w:t>规格</w:t>
            </w:r>
          </w:p>
        </w:tc>
        <w:tc>
          <w:tcPr>
            <w:tcW w:w="1362" w:type="dxa"/>
            <w:vAlign w:val="center"/>
          </w:tcPr>
          <w:p w14:paraId="05FCE2BD">
            <w:pPr>
              <w:jc w:val="center"/>
              <w:rPr>
                <w:rFonts w:ascii="宋体" w:hAnsi="宋体" w:cs="宋体"/>
                <w:b/>
                <w:bCs/>
                <w:szCs w:val="20"/>
              </w:rPr>
            </w:pPr>
            <w:r>
              <w:rPr>
                <w:rFonts w:hint="eastAsia" w:ascii="宋体" w:hAnsi="宋体" w:cs="宋体"/>
                <w:b/>
                <w:bCs/>
                <w:szCs w:val="20"/>
              </w:rPr>
              <w:t>单位</w:t>
            </w:r>
          </w:p>
        </w:tc>
        <w:tc>
          <w:tcPr>
            <w:tcW w:w="1289" w:type="dxa"/>
            <w:vAlign w:val="center"/>
          </w:tcPr>
          <w:p w14:paraId="623CFF46">
            <w:pPr>
              <w:jc w:val="center"/>
              <w:rPr>
                <w:rFonts w:ascii="宋体" w:hAnsi="宋体" w:cs="宋体"/>
                <w:b/>
                <w:bCs/>
                <w:szCs w:val="20"/>
              </w:rPr>
            </w:pPr>
            <w:r>
              <w:rPr>
                <w:rFonts w:hint="eastAsia" w:ascii="宋体" w:hAnsi="宋体" w:cs="宋体"/>
                <w:b/>
                <w:bCs/>
                <w:szCs w:val="20"/>
              </w:rPr>
              <w:t>备注</w:t>
            </w:r>
          </w:p>
        </w:tc>
      </w:tr>
      <w:tr w14:paraId="5CED0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590" w:type="dxa"/>
            <w:vAlign w:val="center"/>
          </w:tcPr>
          <w:p w14:paraId="04ACC5A1">
            <w:pPr>
              <w:jc w:val="center"/>
              <w:textAlignment w:val="center"/>
              <w:rPr>
                <w:rFonts w:ascii="宋体" w:hAnsi="宋体" w:cs="宋体"/>
                <w:color w:val="000000"/>
              </w:rPr>
            </w:pPr>
            <w:r>
              <w:rPr>
                <w:rFonts w:hint="eastAsia" w:ascii="宋体" w:hAnsi="宋体" w:cs="宋体"/>
                <w:color w:val="000000"/>
              </w:rPr>
              <w:t>1</w:t>
            </w:r>
          </w:p>
        </w:tc>
        <w:tc>
          <w:tcPr>
            <w:tcW w:w="1965" w:type="dxa"/>
            <w:vAlign w:val="center"/>
          </w:tcPr>
          <w:p w14:paraId="36B0CDB3">
            <w:pPr>
              <w:jc w:val="center"/>
              <w:textAlignment w:val="center"/>
              <w:rPr>
                <w:rFonts w:ascii="宋体" w:hAnsi="宋体" w:cs="宋体"/>
                <w:color w:val="000000"/>
                <w:sz w:val="20"/>
                <w:szCs w:val="20"/>
              </w:rPr>
            </w:pPr>
            <w:r>
              <w:rPr>
                <w:rFonts w:hint="eastAsia" w:ascii="宋体" w:hAnsi="宋体" w:cs="宋体"/>
                <w:color w:val="000000"/>
                <w:sz w:val="20"/>
                <w:szCs w:val="20"/>
              </w:rPr>
              <w:t>矿用本安电路接线盒</w:t>
            </w:r>
          </w:p>
        </w:tc>
        <w:tc>
          <w:tcPr>
            <w:tcW w:w="2468" w:type="dxa"/>
            <w:vAlign w:val="center"/>
          </w:tcPr>
          <w:p w14:paraId="62FC66F6">
            <w:pPr>
              <w:jc w:val="center"/>
              <w:textAlignment w:val="center"/>
              <w:rPr>
                <w:rFonts w:ascii="宋体" w:hAnsi="宋体" w:cs="宋体"/>
                <w:color w:val="000000"/>
                <w:sz w:val="20"/>
                <w:szCs w:val="20"/>
              </w:rPr>
            </w:pPr>
            <w:r>
              <w:rPr>
                <w:rFonts w:hint="eastAsia" w:ascii="宋体" w:hAnsi="宋体" w:cs="宋体"/>
                <w:color w:val="000000"/>
                <w:sz w:val="20"/>
                <w:szCs w:val="20"/>
              </w:rPr>
              <w:t>JHH-2</w:t>
            </w:r>
          </w:p>
          <w:p w14:paraId="4D2E225C">
            <w:pPr>
              <w:jc w:val="center"/>
              <w:textAlignment w:val="center"/>
              <w:rPr>
                <w:rFonts w:ascii="宋体" w:hAnsi="宋体" w:cs="宋体"/>
                <w:color w:val="000000"/>
                <w:sz w:val="20"/>
                <w:szCs w:val="20"/>
              </w:rPr>
            </w:pPr>
            <w:r>
              <w:rPr>
                <w:rFonts w:hint="eastAsia" w:ascii="宋体" w:hAnsi="宋体" w:cs="宋体"/>
                <w:color w:val="000000"/>
                <w:sz w:val="20"/>
                <w:szCs w:val="20"/>
              </w:rPr>
              <w:t>JHH-3</w:t>
            </w:r>
          </w:p>
          <w:p w14:paraId="1ADF82DB">
            <w:pPr>
              <w:jc w:val="center"/>
              <w:textAlignment w:val="center"/>
              <w:rPr>
                <w:rFonts w:ascii="宋体" w:hAnsi="宋体" w:cs="宋体"/>
                <w:color w:val="000000"/>
                <w:sz w:val="20"/>
                <w:szCs w:val="20"/>
              </w:rPr>
            </w:pPr>
            <w:r>
              <w:rPr>
                <w:rFonts w:hint="eastAsia" w:ascii="宋体" w:hAnsi="宋体" w:cs="宋体"/>
                <w:color w:val="000000"/>
                <w:sz w:val="20"/>
                <w:szCs w:val="20"/>
              </w:rPr>
              <w:t>JHH-4</w:t>
            </w:r>
          </w:p>
          <w:p w14:paraId="304CF832">
            <w:pPr>
              <w:jc w:val="center"/>
              <w:textAlignment w:val="center"/>
              <w:rPr>
                <w:rFonts w:ascii="宋体" w:hAnsi="宋体" w:cs="宋体"/>
                <w:color w:val="000000"/>
                <w:sz w:val="20"/>
                <w:szCs w:val="20"/>
              </w:rPr>
            </w:pPr>
            <w:r>
              <w:rPr>
                <w:rFonts w:hint="eastAsia" w:ascii="宋体" w:hAnsi="宋体" w:cs="宋体"/>
                <w:color w:val="000000"/>
                <w:sz w:val="20"/>
                <w:szCs w:val="20"/>
              </w:rPr>
              <w:t>JHH-6</w:t>
            </w:r>
          </w:p>
          <w:p w14:paraId="1B57CA8F">
            <w:pPr>
              <w:jc w:val="center"/>
              <w:textAlignment w:val="center"/>
              <w:rPr>
                <w:rFonts w:ascii="宋体" w:hAnsi="宋体" w:cs="宋体"/>
                <w:color w:val="000000"/>
                <w:sz w:val="20"/>
                <w:szCs w:val="20"/>
              </w:rPr>
            </w:pPr>
            <w:r>
              <w:rPr>
                <w:rFonts w:ascii="宋体" w:hAnsi="宋体" w:cs="宋体"/>
                <w:color w:val="000000"/>
                <w:sz w:val="20"/>
                <w:szCs w:val="20"/>
              </w:rPr>
              <w:t xml:space="preserve">JHH-6(A) </w:t>
            </w:r>
          </w:p>
          <w:p w14:paraId="769AB705">
            <w:pPr>
              <w:jc w:val="center"/>
              <w:textAlignment w:val="center"/>
              <w:rPr>
                <w:rFonts w:ascii="宋体" w:hAnsi="宋体" w:cs="宋体"/>
                <w:color w:val="000000"/>
                <w:sz w:val="20"/>
                <w:szCs w:val="20"/>
              </w:rPr>
            </w:pPr>
            <w:r>
              <w:rPr>
                <w:rFonts w:ascii="宋体" w:hAnsi="宋体" w:cs="宋体"/>
                <w:color w:val="000000"/>
                <w:sz w:val="20"/>
                <w:szCs w:val="20"/>
              </w:rPr>
              <w:t>JHH-6(C)</w:t>
            </w:r>
          </w:p>
          <w:p w14:paraId="6E4F07EF">
            <w:pPr>
              <w:jc w:val="center"/>
              <w:textAlignment w:val="center"/>
              <w:rPr>
                <w:rFonts w:ascii="宋体" w:hAnsi="宋体" w:cs="宋体"/>
                <w:color w:val="000000"/>
                <w:sz w:val="20"/>
                <w:szCs w:val="20"/>
              </w:rPr>
            </w:pPr>
            <w:r>
              <w:rPr>
                <w:rFonts w:hint="eastAsia" w:ascii="宋体" w:hAnsi="宋体" w:cs="宋体"/>
                <w:color w:val="000000"/>
                <w:sz w:val="20"/>
                <w:szCs w:val="20"/>
              </w:rPr>
              <w:t>JHH-8</w:t>
            </w:r>
          </w:p>
          <w:p w14:paraId="0DDB0BE0">
            <w:pPr>
              <w:jc w:val="center"/>
              <w:textAlignment w:val="center"/>
              <w:rPr>
                <w:rFonts w:ascii="宋体" w:hAnsi="宋体" w:cs="宋体"/>
                <w:color w:val="000000"/>
                <w:sz w:val="20"/>
                <w:szCs w:val="20"/>
              </w:rPr>
            </w:pPr>
            <w:r>
              <w:rPr>
                <w:rFonts w:ascii="宋体" w:hAnsi="宋体" w:cs="宋体"/>
                <w:color w:val="000000"/>
                <w:sz w:val="20"/>
                <w:szCs w:val="20"/>
              </w:rPr>
              <w:t>JHH-10(A)</w:t>
            </w:r>
          </w:p>
        </w:tc>
        <w:tc>
          <w:tcPr>
            <w:tcW w:w="1362" w:type="dxa"/>
            <w:vAlign w:val="center"/>
          </w:tcPr>
          <w:p w14:paraId="678195F6">
            <w:pPr>
              <w:jc w:val="center"/>
              <w:textAlignment w:val="center"/>
              <w:rPr>
                <w:rFonts w:ascii="宋体" w:hAnsi="宋体" w:cs="宋体"/>
                <w:color w:val="000000"/>
                <w:sz w:val="20"/>
                <w:szCs w:val="20"/>
              </w:rPr>
            </w:pPr>
            <w:r>
              <w:rPr>
                <w:rFonts w:hint="eastAsia" w:ascii="宋体" w:hAnsi="宋体" w:cs="宋体"/>
                <w:color w:val="000000"/>
                <w:sz w:val="20"/>
                <w:szCs w:val="20"/>
              </w:rPr>
              <w:t>台</w:t>
            </w:r>
          </w:p>
        </w:tc>
        <w:tc>
          <w:tcPr>
            <w:tcW w:w="1289" w:type="dxa"/>
            <w:vAlign w:val="center"/>
          </w:tcPr>
          <w:p w14:paraId="6F36A71A">
            <w:pPr>
              <w:jc w:val="center"/>
              <w:textAlignment w:val="center"/>
              <w:rPr>
                <w:rFonts w:ascii="宋体" w:hAnsi="宋体" w:cs="宋体"/>
                <w:sz w:val="20"/>
                <w:szCs w:val="20"/>
              </w:rPr>
            </w:pPr>
          </w:p>
        </w:tc>
      </w:tr>
      <w:tr w14:paraId="65BC4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590" w:type="dxa"/>
            <w:vAlign w:val="center"/>
          </w:tcPr>
          <w:p w14:paraId="32DB91A4">
            <w:pPr>
              <w:jc w:val="center"/>
              <w:textAlignment w:val="center"/>
              <w:rPr>
                <w:rFonts w:hint="eastAsia" w:ascii="宋体" w:hAnsi="宋体" w:cs="宋体"/>
                <w:color w:val="000000"/>
              </w:rPr>
            </w:pPr>
            <w:r>
              <w:rPr>
                <w:rFonts w:hint="eastAsia" w:ascii="宋体" w:hAnsi="宋体" w:cs="宋体"/>
                <w:color w:val="000000"/>
              </w:rPr>
              <w:t>2</w:t>
            </w:r>
          </w:p>
        </w:tc>
        <w:tc>
          <w:tcPr>
            <w:tcW w:w="1965" w:type="dxa"/>
            <w:vAlign w:val="center"/>
          </w:tcPr>
          <w:p w14:paraId="3B7845F6">
            <w:pPr>
              <w:jc w:val="center"/>
              <w:textAlignment w:val="center"/>
              <w:rPr>
                <w:rFonts w:hint="eastAsia" w:ascii="宋体" w:hAnsi="宋体" w:cs="宋体"/>
                <w:color w:val="000000"/>
                <w:sz w:val="20"/>
                <w:szCs w:val="20"/>
              </w:rPr>
            </w:pPr>
            <w:r>
              <w:rPr>
                <w:rFonts w:hint="eastAsia" w:ascii="楷体_GB2312" w:hAnsi="楷体_GB2312" w:eastAsia="楷体_GB2312" w:cs="楷体_GB2312"/>
                <w:b/>
                <w:bCs/>
                <w:sz w:val="32"/>
                <w:szCs w:val="32"/>
              </w:rPr>
              <w:t>矿用光缆盘纤盒</w:t>
            </w:r>
          </w:p>
        </w:tc>
        <w:tc>
          <w:tcPr>
            <w:tcW w:w="2468" w:type="dxa"/>
            <w:vAlign w:val="center"/>
          </w:tcPr>
          <w:p w14:paraId="2582CFDE">
            <w:pPr>
              <w:jc w:val="center"/>
              <w:textAlignment w:val="center"/>
              <w:rPr>
                <w:rFonts w:hint="eastAsia" w:ascii="宋体" w:hAnsi="宋体" w:cs="宋体"/>
                <w:color w:val="000000"/>
                <w:sz w:val="20"/>
                <w:szCs w:val="20"/>
              </w:rPr>
            </w:pPr>
            <w:r>
              <w:rPr>
                <w:rFonts w:ascii="宋体" w:hAnsi="宋体" w:cs="宋体"/>
                <w:color w:val="000000"/>
                <w:sz w:val="20"/>
                <w:szCs w:val="20"/>
              </w:rPr>
              <w:t>FHG2 (A)</w:t>
            </w:r>
          </w:p>
          <w:p w14:paraId="2500965A">
            <w:pPr>
              <w:jc w:val="center"/>
              <w:textAlignment w:val="center"/>
              <w:rPr>
                <w:rFonts w:hint="eastAsia" w:ascii="宋体" w:hAnsi="宋体" w:cs="宋体"/>
                <w:color w:val="000000"/>
                <w:sz w:val="20"/>
                <w:szCs w:val="20"/>
              </w:rPr>
            </w:pPr>
            <w:r>
              <w:rPr>
                <w:rFonts w:ascii="宋体" w:hAnsi="宋体" w:cs="宋体"/>
                <w:color w:val="000000"/>
                <w:sz w:val="20"/>
                <w:szCs w:val="20"/>
              </w:rPr>
              <w:t>FHG4</w:t>
            </w:r>
          </w:p>
          <w:p w14:paraId="7BD46372">
            <w:pPr>
              <w:jc w:val="center"/>
              <w:textAlignment w:val="center"/>
              <w:rPr>
                <w:rFonts w:hint="eastAsia" w:ascii="宋体" w:hAnsi="宋体" w:cs="宋体"/>
                <w:color w:val="000000"/>
                <w:sz w:val="20"/>
                <w:szCs w:val="20"/>
              </w:rPr>
            </w:pPr>
            <w:r>
              <w:rPr>
                <w:rFonts w:ascii="宋体" w:hAnsi="宋体" w:cs="宋体"/>
                <w:color w:val="000000"/>
                <w:sz w:val="20"/>
                <w:szCs w:val="20"/>
              </w:rPr>
              <w:t>FHG6</w:t>
            </w:r>
          </w:p>
        </w:tc>
        <w:tc>
          <w:tcPr>
            <w:tcW w:w="1362" w:type="dxa"/>
            <w:vAlign w:val="center"/>
          </w:tcPr>
          <w:p w14:paraId="71418F5C">
            <w:pPr>
              <w:jc w:val="center"/>
              <w:textAlignment w:val="center"/>
              <w:rPr>
                <w:rFonts w:hint="eastAsia" w:ascii="宋体" w:hAnsi="宋体" w:cs="宋体"/>
                <w:color w:val="000000"/>
                <w:sz w:val="20"/>
                <w:szCs w:val="20"/>
              </w:rPr>
            </w:pPr>
          </w:p>
        </w:tc>
        <w:tc>
          <w:tcPr>
            <w:tcW w:w="1289" w:type="dxa"/>
            <w:vAlign w:val="center"/>
          </w:tcPr>
          <w:p w14:paraId="375CD275">
            <w:pPr>
              <w:jc w:val="center"/>
              <w:textAlignment w:val="center"/>
              <w:rPr>
                <w:rFonts w:ascii="宋体" w:hAnsi="宋体" w:cs="宋体"/>
                <w:sz w:val="20"/>
                <w:szCs w:val="20"/>
              </w:rPr>
            </w:pPr>
          </w:p>
        </w:tc>
      </w:tr>
    </w:tbl>
    <w:p w14:paraId="2ACD4978">
      <w:pPr>
        <w:ind w:firstLine="560" w:firstLineChars="200"/>
        <w:rPr>
          <w:rFonts w:ascii="仿宋_GB2312" w:hAnsi="仿宋_GB2312" w:eastAsia="仿宋_GB2312" w:cs="仿宋_GB2312"/>
          <w:sz w:val="32"/>
          <w:szCs w:val="32"/>
        </w:rPr>
      </w:pPr>
      <w:r>
        <w:rPr>
          <w:rFonts w:hint="eastAsia" w:ascii="宋体" w:hAnsi="宋体" w:cs="宋体"/>
          <w:b/>
          <w:bCs/>
          <w:sz w:val="28"/>
          <w:szCs w:val="28"/>
        </w:rPr>
        <w:t>（</w:t>
      </w:r>
      <w:r>
        <w:rPr>
          <w:rFonts w:hint="eastAsia" w:ascii="楷体_GB2312" w:hAnsi="楷体_GB2312" w:eastAsia="楷体_GB2312" w:cs="楷体_GB2312"/>
          <w:b/>
          <w:bCs/>
          <w:sz w:val="32"/>
          <w:szCs w:val="32"/>
        </w:rPr>
        <w:t>三）供货范围：</w:t>
      </w:r>
      <w:r>
        <w:rPr>
          <w:rFonts w:hint="eastAsia" w:ascii="仿宋_GB2312" w:hAnsi="仿宋_GB2312" w:eastAsia="仿宋_GB2312" w:cs="仿宋_GB2312"/>
          <w:sz w:val="32"/>
          <w:szCs w:val="32"/>
        </w:rPr>
        <w:t>供货到永煤集团股份有限公司顺和煤矿。</w:t>
      </w:r>
    </w:p>
    <w:p w14:paraId="384E9C24">
      <w:pPr>
        <w:ind w:firstLine="570"/>
        <w:outlineLvl w:val="0"/>
        <w:rPr>
          <w:rFonts w:ascii="宋体" w:hAnsi="宋体" w:cs="宋体"/>
          <w:b/>
          <w:bCs/>
          <w:sz w:val="28"/>
          <w:szCs w:val="28"/>
        </w:rPr>
      </w:pPr>
      <w:r>
        <w:rPr>
          <w:rFonts w:hint="eastAsia" w:ascii="黑体" w:hAnsi="黑体" w:eastAsia="黑体" w:cs="黑体"/>
          <w:b/>
          <w:bCs/>
          <w:sz w:val="32"/>
          <w:szCs w:val="32"/>
        </w:rPr>
        <w:t>三、主要部件配置要求及技术参数</w:t>
      </w:r>
    </w:p>
    <w:p w14:paraId="56D909A0">
      <w:pPr>
        <w:ind w:firstLine="643" w:firstLineChars="200"/>
        <w:rPr>
          <w:rFonts w:ascii="楷体_GB2312" w:hAnsi="楷体_GB2312" w:eastAsia="楷体_GB2312" w:cs="楷体_GB2312"/>
          <w:b/>
          <w:bCs/>
          <w:sz w:val="32"/>
          <w:szCs w:val="32"/>
        </w:rPr>
      </w:pPr>
      <w:r>
        <w:rPr>
          <w:rFonts w:hint="eastAsia" w:ascii="楷体_GB2312" w:hAnsi="楷体_GB2312" w:eastAsia="楷体_GB2312" w:cs="楷体_GB2312"/>
          <w:b/>
          <w:bCs/>
          <w:sz w:val="32"/>
          <w:szCs w:val="32"/>
        </w:rPr>
        <w:t>矿用本安电路接线盒及矿用光缆盘纤盒：</w:t>
      </w:r>
    </w:p>
    <w:p w14:paraId="1ED6E99E">
      <w:pPr>
        <w:ind w:firstLine="643" w:firstLineChars="200"/>
        <w:rPr>
          <w:rFonts w:ascii="宋体" w:hAnsi="宋体" w:cs="宋体"/>
          <w:sz w:val="28"/>
          <w:szCs w:val="28"/>
        </w:rPr>
      </w:pPr>
      <w:r>
        <w:rPr>
          <w:rFonts w:hint="eastAsia" w:ascii="楷体_GB2312" w:hAnsi="楷体_GB2312" w:eastAsia="楷体_GB2312" w:cs="楷体_GB2312"/>
          <w:b/>
          <w:bCs/>
          <w:sz w:val="32"/>
          <w:szCs w:val="32"/>
        </w:rPr>
        <w:t>（一）主要部件：</w:t>
      </w:r>
      <w:r>
        <w:rPr>
          <w:rFonts w:hint="eastAsia" w:ascii="仿宋_GB2312" w:hAnsi="仿宋_GB2312" w:eastAsia="仿宋_GB2312" w:cs="仿宋_GB2312"/>
          <w:sz w:val="32"/>
          <w:szCs w:val="32"/>
        </w:rPr>
        <w:t>阻燃聚氯乙烯塑料。</w:t>
      </w:r>
    </w:p>
    <w:p w14:paraId="3A1A4193">
      <w:pPr>
        <w:ind w:firstLine="643" w:firstLineChars="200"/>
        <w:rPr>
          <w:rFonts w:ascii="宋体" w:hAnsi="宋体" w:cs="宋体"/>
          <w:sz w:val="28"/>
          <w:szCs w:val="28"/>
        </w:rPr>
      </w:pPr>
      <w:r>
        <w:rPr>
          <w:rFonts w:hint="eastAsia" w:ascii="楷体_GB2312" w:hAnsi="楷体_GB2312" w:eastAsia="楷体_GB2312" w:cs="楷体_GB2312"/>
          <w:b/>
          <w:bCs/>
          <w:sz w:val="32"/>
          <w:szCs w:val="32"/>
        </w:rPr>
        <w:t>（二）技术参数：</w:t>
      </w:r>
    </w:p>
    <w:p w14:paraId="63FAC261">
      <w:pPr>
        <w:spacing w:line="360" w:lineRule="auto"/>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1、外壳壳体不得有裂纹、气泡、针孔等机械损伤，不得有影响产品性能的变形；</w:t>
      </w:r>
    </w:p>
    <w:p w14:paraId="1BDE9FDF">
      <w:pPr>
        <w:spacing w:line="360" w:lineRule="auto"/>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2、接线盒上的标志、铭牌应清晰、端正、设置牢固；</w:t>
      </w:r>
    </w:p>
    <w:p w14:paraId="6E03901B">
      <w:pPr>
        <w:spacing w:line="360" w:lineRule="auto"/>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3、接线盒接线端子压接 1.5mm</w:t>
      </w:r>
      <w:r>
        <w:rPr>
          <w:rFonts w:ascii="宋体" w:hAnsi="宋体" w:cs="宋体"/>
          <w:sz w:val="32"/>
          <w:szCs w:val="32"/>
        </w:rPr>
        <w:t>²</w:t>
      </w:r>
      <w:r>
        <w:rPr>
          <w:rFonts w:hint="eastAsia" w:ascii="仿宋_GB2312" w:hAnsi="仿宋_GB2312" w:eastAsia="仿宋_GB2312" w:cs="仿宋_GB2312"/>
          <w:sz w:val="32"/>
          <w:szCs w:val="32"/>
        </w:rPr>
        <w:t>裸镀镍铜导线后应能承受 168N的张力值；</w:t>
      </w:r>
    </w:p>
    <w:p w14:paraId="292EEBD5">
      <w:pPr>
        <w:spacing w:line="360" w:lineRule="auto"/>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4、</w:t>
      </w:r>
      <w:r>
        <w:rPr>
          <w:rFonts w:hint="eastAsia" w:ascii="仿宋_GB2312" w:hAnsi="仿宋_GB2312" w:eastAsia="仿宋_GB2312" w:cs="仿宋_GB2312"/>
          <w:spacing w:val="4"/>
          <w:sz w:val="32"/>
          <w:szCs w:val="32"/>
        </w:rPr>
        <w:t>接线盒结构尺寸的设计应便于接线，并留有适合于导线弯曲半径的空间；</w:t>
      </w:r>
    </w:p>
    <w:p w14:paraId="51C11A53">
      <w:pPr>
        <w:spacing w:line="360" w:lineRule="auto"/>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5、</w:t>
      </w:r>
      <w:r>
        <w:rPr>
          <w:rFonts w:hint="eastAsia" w:ascii="仿宋_GB2312" w:hAnsi="仿宋_GB2312" w:eastAsia="仿宋_GB2312" w:cs="仿宋_GB2312"/>
          <w:spacing w:val="4"/>
          <w:sz w:val="32"/>
          <w:szCs w:val="32"/>
        </w:rPr>
        <w:t>接线盒外壳应符合GB4208-93外壳防护等级中IP54 的要求；</w:t>
      </w:r>
    </w:p>
    <w:p w14:paraId="1AA2552F">
      <w:pPr>
        <w:spacing w:line="360" w:lineRule="auto"/>
        <w:ind w:firstLine="640" w:firstLineChars="200"/>
        <w:rPr>
          <w:rFonts w:ascii="仿宋_GB2312" w:hAnsi="仿宋_GB2312" w:eastAsia="仿宋_GB2312" w:cs="仿宋_GB2312"/>
          <w:spacing w:val="4"/>
          <w:sz w:val="32"/>
          <w:szCs w:val="32"/>
        </w:rPr>
      </w:pPr>
      <w:r>
        <w:rPr>
          <w:rStyle w:val="11"/>
          <w:rFonts w:hint="eastAsia" w:ascii="仿宋_GB2312" w:hAnsi="仿宋_GB2312" w:eastAsia="仿宋_GB2312" w:cs="仿宋_GB2312"/>
          <w:sz w:val="32"/>
          <w:szCs w:val="32"/>
        </w:rPr>
        <w:t>6、</w:t>
      </w:r>
      <w:r>
        <w:rPr>
          <w:rFonts w:hint="eastAsia" w:ascii="仿宋_GB2312" w:hAnsi="仿宋_GB2312" w:eastAsia="仿宋_GB2312" w:cs="仿宋_GB2312"/>
          <w:spacing w:val="4"/>
          <w:sz w:val="32"/>
          <w:szCs w:val="32"/>
        </w:rPr>
        <w:t>接线盒导线采用接线端子压片压接连接方式， 压片与导线压接应接触可靠、 不得滑动或断裂；</w:t>
      </w:r>
    </w:p>
    <w:p w14:paraId="372A9154">
      <w:pPr>
        <w:tabs>
          <w:tab w:val="left" w:pos="210"/>
        </w:tabs>
        <w:ind w:firstLine="656" w:firstLineChars="200"/>
        <w:rPr>
          <w:rFonts w:ascii="仿宋_GB2312" w:hAnsi="仿宋_GB2312" w:eastAsia="仿宋_GB2312" w:cs="仿宋_GB2312"/>
          <w:spacing w:val="4"/>
          <w:sz w:val="32"/>
          <w:szCs w:val="32"/>
        </w:rPr>
      </w:pPr>
      <w:r>
        <w:rPr>
          <w:rFonts w:hint="eastAsia" w:ascii="仿宋_GB2312" w:hAnsi="仿宋_GB2312" w:eastAsia="仿宋_GB2312" w:cs="仿宋_GB2312"/>
          <w:spacing w:val="4"/>
          <w:sz w:val="32"/>
          <w:szCs w:val="32"/>
        </w:rPr>
        <w:t>7、导线连接处接触电阻: 常态时不大于0.01Ω:振动和冲击试验后不大于 0.05Ω，寿命试验后不大于0.02Ω。</w:t>
      </w:r>
    </w:p>
    <w:p w14:paraId="71223C5C">
      <w:pPr>
        <w:spacing w:line="360" w:lineRule="auto"/>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8、同一品种规格型号接线盒的零部件应能互换。</w:t>
      </w:r>
    </w:p>
    <w:p w14:paraId="5FA40DF3">
      <w:pPr>
        <w:ind w:firstLine="643" w:firstLineChars="200"/>
        <w:outlineLvl w:val="0"/>
        <w:rPr>
          <w:rFonts w:ascii="黑体" w:hAnsi="黑体" w:eastAsia="黑体" w:cs="黑体"/>
          <w:b/>
          <w:bCs/>
          <w:sz w:val="32"/>
          <w:szCs w:val="32"/>
        </w:rPr>
      </w:pPr>
      <w:r>
        <w:rPr>
          <w:rFonts w:hint="eastAsia" w:ascii="黑体" w:hAnsi="黑体" w:eastAsia="黑体" w:cs="黑体"/>
          <w:b/>
          <w:bCs/>
          <w:sz w:val="32"/>
          <w:szCs w:val="32"/>
        </w:rPr>
        <w:t>四、质量及验收要求</w:t>
      </w:r>
    </w:p>
    <w:p w14:paraId="2E579A94">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（一）产品制造加工及验收应严格执行国家及行业的相关制造验收标准。</w:t>
      </w:r>
    </w:p>
    <w:p w14:paraId="0D7756BB">
      <w:pPr>
        <w:ind w:firstLine="560"/>
        <w:rPr>
          <w:rFonts w:ascii="仿宋_GB2312" w:hAnsi="仿宋_GB2312" w:eastAsia="仿宋_GB2312" w:cs="仿宋_GB2312"/>
          <w:sz w:val="32"/>
          <w:szCs w:val="32"/>
        </w:rPr>
      </w:pPr>
      <w:r>
        <w:rPr>
          <w:rFonts w:hint="eastAsia" w:ascii="仿宋_GB2312" w:hAnsi="仿宋_GB2312" w:eastAsia="仿宋_GB2312" w:cs="仿宋_GB2312"/>
          <w:sz w:val="32"/>
          <w:szCs w:val="32"/>
        </w:rPr>
        <w:t>（二）外观：表面应平整、色泽基本均匀，表面和断面无可见气孔，不应有机械损伤等缺陷。</w:t>
      </w:r>
    </w:p>
    <w:p w14:paraId="4E419886">
      <w:pPr>
        <w:ind w:firstLine="560"/>
        <w:rPr>
          <w:rFonts w:ascii="仿宋_GB2312" w:hAnsi="仿宋_GB2312" w:eastAsia="仿宋_GB2312" w:cs="仿宋_GB2312"/>
          <w:bCs/>
          <w:snapToGrid w:val="0"/>
          <w:sz w:val="32"/>
          <w:szCs w:val="32"/>
        </w:rPr>
      </w:pPr>
      <w:r>
        <w:rPr>
          <w:rFonts w:hint="eastAsia" w:ascii="仿宋_GB2312" w:hAnsi="仿宋_GB2312" w:eastAsia="仿宋_GB2312" w:cs="仿宋_GB2312"/>
          <w:sz w:val="32"/>
          <w:szCs w:val="32"/>
        </w:rPr>
        <w:t>（三）验收时出示出厂检验报告，矿用产品安全标志证书</w:t>
      </w:r>
      <w:r>
        <w:rPr>
          <w:rFonts w:hint="eastAsia" w:ascii="仿宋_GB2312" w:hAnsi="仿宋_GB2312" w:eastAsia="仿宋_GB2312" w:cs="仿宋_GB2312"/>
          <w:bCs/>
          <w:snapToGrid w:val="0"/>
          <w:sz w:val="32"/>
          <w:szCs w:val="32"/>
        </w:rPr>
        <w:t>。</w:t>
      </w:r>
    </w:p>
    <w:p w14:paraId="0E9F9342">
      <w:pPr>
        <w:ind w:firstLine="643" w:firstLineChars="200"/>
        <w:outlineLvl w:val="0"/>
        <w:rPr>
          <w:rFonts w:ascii="黑体" w:hAnsi="黑体" w:eastAsia="黑体" w:cs="黑体"/>
          <w:b/>
          <w:snapToGrid w:val="0"/>
          <w:sz w:val="32"/>
          <w:szCs w:val="32"/>
        </w:rPr>
      </w:pPr>
      <w:r>
        <w:rPr>
          <w:rFonts w:hint="eastAsia" w:ascii="黑体" w:hAnsi="黑体" w:eastAsia="黑体" w:cs="黑体"/>
          <w:b/>
          <w:snapToGrid w:val="0"/>
          <w:sz w:val="32"/>
          <w:szCs w:val="32"/>
        </w:rPr>
        <w:t>五、运输及包装要求</w:t>
      </w:r>
    </w:p>
    <w:p w14:paraId="336CAB5B">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（一）免费运输到永煤集团股份有限公司顺和煤矿。</w:t>
      </w:r>
    </w:p>
    <w:p w14:paraId="2B60E977">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（二）包装要求：产品严格按照国家标准及规定进行包装和运输，确保产品装卸及运输过程中的安全性及可靠性，保证货物完好到达指定地点。</w:t>
      </w:r>
    </w:p>
    <w:p w14:paraId="28C840DB">
      <w:pPr>
        <w:spacing w:line="220" w:lineRule="atLeas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（三）在搬运过程中，不得与尖硬物撞</w:t>
      </w:r>
      <w:bookmarkStart w:id="0" w:name="_GoBack"/>
      <w:bookmarkEnd w:id="0"/>
      <w:r>
        <w:rPr>
          <w:rFonts w:hint="eastAsia" w:ascii="仿宋_GB2312" w:hAnsi="仿宋_GB2312" w:eastAsia="仿宋_GB2312" w:cs="仿宋_GB2312"/>
          <w:sz w:val="32"/>
          <w:szCs w:val="32"/>
        </w:rPr>
        <w:t>击，不得在地上拖拉，运输过程中应避免雨淋。</w:t>
      </w:r>
    </w:p>
    <w:p w14:paraId="5BE03ABE">
      <w:pPr>
        <w:spacing w:line="220" w:lineRule="atLeast"/>
      </w:pPr>
    </w:p>
    <w:sectPr>
      <w:pgSz w:w="11906" w:h="16838"/>
      <w:pgMar w:top="1440" w:right="1800" w:bottom="1440" w:left="180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8F0D6">
    <w:pPr>
      <w:pStyle w:val="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26AF7B">
    <w:pPr>
      <w:pStyle w:val="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2E3B00">
    <w:pPr>
      <w:pStyle w:val="3"/>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B5F63E">
    <w:pPr>
      <w:pStyle w:val="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5A1F72">
    <w:pPr>
      <w:pStyle w:val="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45D0C6">
    <w:pPr>
      <w:pStyle w:val="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53F4F1D"/>
    <w:multiLevelType w:val="multilevel"/>
    <w:tmpl w:val="753F4F1D"/>
    <w:lvl w:ilvl="0" w:tentative="0">
      <w:start w:val="1"/>
      <w:numFmt w:val="japaneseCounting"/>
      <w:lvlText w:val="（%1）"/>
      <w:lvlJc w:val="left"/>
      <w:pPr>
        <w:ind w:left="1723" w:hanging="1080"/>
      </w:pPr>
      <w:rPr>
        <w:rFonts w:hint="default" w:ascii="楷体_GB2312" w:hAnsi="楷体_GB2312" w:eastAsia="楷体_GB2312" w:cs="楷体_GB2312"/>
        <w:b/>
      </w:rPr>
    </w:lvl>
    <w:lvl w:ilvl="1" w:tentative="0">
      <w:start w:val="1"/>
      <w:numFmt w:val="lowerLetter"/>
      <w:lvlText w:val="%2)"/>
      <w:lvlJc w:val="left"/>
      <w:pPr>
        <w:ind w:left="1483" w:hanging="420"/>
      </w:pPr>
    </w:lvl>
    <w:lvl w:ilvl="2" w:tentative="0">
      <w:start w:val="1"/>
      <w:numFmt w:val="lowerRoman"/>
      <w:lvlText w:val="%3."/>
      <w:lvlJc w:val="right"/>
      <w:pPr>
        <w:ind w:left="1903" w:hanging="420"/>
      </w:pPr>
    </w:lvl>
    <w:lvl w:ilvl="3" w:tentative="0">
      <w:start w:val="1"/>
      <w:numFmt w:val="decimal"/>
      <w:lvlText w:val="%4."/>
      <w:lvlJc w:val="left"/>
      <w:pPr>
        <w:ind w:left="2323" w:hanging="420"/>
      </w:pPr>
    </w:lvl>
    <w:lvl w:ilvl="4" w:tentative="0">
      <w:start w:val="1"/>
      <w:numFmt w:val="lowerLetter"/>
      <w:lvlText w:val="%5)"/>
      <w:lvlJc w:val="left"/>
      <w:pPr>
        <w:ind w:left="2743" w:hanging="420"/>
      </w:pPr>
    </w:lvl>
    <w:lvl w:ilvl="5" w:tentative="0">
      <w:start w:val="1"/>
      <w:numFmt w:val="lowerRoman"/>
      <w:lvlText w:val="%6."/>
      <w:lvlJc w:val="right"/>
      <w:pPr>
        <w:ind w:left="3163" w:hanging="420"/>
      </w:pPr>
    </w:lvl>
    <w:lvl w:ilvl="6" w:tentative="0">
      <w:start w:val="1"/>
      <w:numFmt w:val="decimal"/>
      <w:lvlText w:val="%7."/>
      <w:lvlJc w:val="left"/>
      <w:pPr>
        <w:ind w:left="3583" w:hanging="420"/>
      </w:pPr>
    </w:lvl>
    <w:lvl w:ilvl="7" w:tentative="0">
      <w:start w:val="1"/>
      <w:numFmt w:val="lowerLetter"/>
      <w:lvlText w:val="%8)"/>
      <w:lvlJc w:val="left"/>
      <w:pPr>
        <w:ind w:left="4003" w:hanging="420"/>
      </w:pPr>
    </w:lvl>
    <w:lvl w:ilvl="8" w:tentative="0">
      <w:start w:val="1"/>
      <w:numFmt w:val="lowerRoman"/>
      <w:lvlText w:val="%9."/>
      <w:lvlJc w:val="right"/>
      <w:pPr>
        <w:ind w:left="4423" w:hanging="420"/>
      </w:pPr>
    </w:lvl>
  </w:abstractNum>
  <w:abstractNum w:abstractNumId="1">
    <w:nsid w:val="7E001F48"/>
    <w:multiLevelType w:val="multilevel"/>
    <w:tmpl w:val="7E001F48"/>
    <w:lvl w:ilvl="0" w:tentative="0">
      <w:start w:val="1"/>
      <w:numFmt w:val="japaneseCounting"/>
      <w:lvlText w:val="%1、"/>
      <w:lvlJc w:val="left"/>
      <w:pPr>
        <w:tabs>
          <w:tab w:val="left" w:pos="1288"/>
        </w:tabs>
        <w:ind w:left="1288" w:hanging="720"/>
      </w:pPr>
      <w:rPr>
        <w:rFonts w:hint="default"/>
      </w:rPr>
    </w:lvl>
    <w:lvl w:ilvl="1" w:tentative="0">
      <w:start w:val="1"/>
      <w:numFmt w:val="lowerLetter"/>
      <w:lvlText w:val="%2)"/>
      <w:lvlJc w:val="left"/>
      <w:pPr>
        <w:tabs>
          <w:tab w:val="left" w:pos="978"/>
        </w:tabs>
        <w:ind w:left="978" w:hanging="420"/>
      </w:pPr>
    </w:lvl>
    <w:lvl w:ilvl="2" w:tentative="0">
      <w:start w:val="1"/>
      <w:numFmt w:val="lowerRoman"/>
      <w:lvlText w:val="%3."/>
      <w:lvlJc w:val="right"/>
      <w:pPr>
        <w:tabs>
          <w:tab w:val="left" w:pos="1398"/>
        </w:tabs>
        <w:ind w:left="1398" w:hanging="420"/>
      </w:pPr>
    </w:lvl>
    <w:lvl w:ilvl="3" w:tentative="0">
      <w:start w:val="1"/>
      <w:numFmt w:val="decimal"/>
      <w:lvlText w:val="%4."/>
      <w:lvlJc w:val="left"/>
      <w:pPr>
        <w:tabs>
          <w:tab w:val="left" w:pos="1818"/>
        </w:tabs>
        <w:ind w:left="1818" w:hanging="420"/>
      </w:pPr>
    </w:lvl>
    <w:lvl w:ilvl="4" w:tentative="0">
      <w:start w:val="1"/>
      <w:numFmt w:val="lowerLetter"/>
      <w:lvlText w:val="%5)"/>
      <w:lvlJc w:val="left"/>
      <w:pPr>
        <w:tabs>
          <w:tab w:val="left" w:pos="2238"/>
        </w:tabs>
        <w:ind w:left="2238" w:hanging="420"/>
      </w:pPr>
    </w:lvl>
    <w:lvl w:ilvl="5" w:tentative="0">
      <w:start w:val="1"/>
      <w:numFmt w:val="lowerRoman"/>
      <w:lvlText w:val="%6."/>
      <w:lvlJc w:val="right"/>
      <w:pPr>
        <w:tabs>
          <w:tab w:val="left" w:pos="2658"/>
        </w:tabs>
        <w:ind w:left="2658" w:hanging="420"/>
      </w:pPr>
    </w:lvl>
    <w:lvl w:ilvl="6" w:tentative="0">
      <w:start w:val="1"/>
      <w:numFmt w:val="decimal"/>
      <w:lvlText w:val="%7."/>
      <w:lvlJc w:val="left"/>
      <w:pPr>
        <w:tabs>
          <w:tab w:val="left" w:pos="3078"/>
        </w:tabs>
        <w:ind w:left="3078" w:hanging="420"/>
      </w:pPr>
    </w:lvl>
    <w:lvl w:ilvl="7" w:tentative="0">
      <w:start w:val="1"/>
      <w:numFmt w:val="lowerLetter"/>
      <w:lvlText w:val="%8)"/>
      <w:lvlJc w:val="left"/>
      <w:pPr>
        <w:tabs>
          <w:tab w:val="left" w:pos="3498"/>
        </w:tabs>
        <w:ind w:left="3498" w:hanging="420"/>
      </w:pPr>
    </w:lvl>
    <w:lvl w:ilvl="8" w:tentative="0">
      <w:start w:val="1"/>
      <w:numFmt w:val="lowerRoman"/>
      <w:lvlText w:val="%9."/>
      <w:lvlJc w:val="right"/>
      <w:pPr>
        <w:tabs>
          <w:tab w:val="left" w:pos="3918"/>
        </w:tabs>
        <w:ind w:left="3918"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720"/>
  <w:characterSpacingControl w:val="doNotCompress"/>
  <w:footnotePr>
    <w:footnote w:id="0"/>
    <w:footnote w:id="1"/>
  </w:footnotePr>
  <w:endnotePr>
    <w:endnote w:id="0"/>
    <w:endnote w:id="1"/>
  </w:endnotePr>
  <w:compat>
    <w:useFELayout/>
    <w:compatSetting w:name="compatibilityMode" w:uri="http://schemas.microsoft.com/office/word" w:val="12"/>
  </w:compat>
  <w:rsids>
    <w:rsidRoot w:val="00D31D50"/>
    <w:rsid w:val="001266D1"/>
    <w:rsid w:val="0027518A"/>
    <w:rsid w:val="00323B43"/>
    <w:rsid w:val="003D37D8"/>
    <w:rsid w:val="00426133"/>
    <w:rsid w:val="004358AB"/>
    <w:rsid w:val="004857ED"/>
    <w:rsid w:val="00550927"/>
    <w:rsid w:val="007D7F1A"/>
    <w:rsid w:val="008976AD"/>
    <w:rsid w:val="008B7726"/>
    <w:rsid w:val="009F28C7"/>
    <w:rsid w:val="00BE12A6"/>
    <w:rsid w:val="00CD1E91"/>
    <w:rsid w:val="00D31D50"/>
    <w:rsid w:val="00D80AB0"/>
    <w:rsid w:val="00DE5063"/>
    <w:rsid w:val="00E25F1D"/>
    <w:rsid w:val="00F66010"/>
    <w:rsid w:val="00F96672"/>
    <w:rsid w:val="67171F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微软雅黑"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adjustRightInd w:val="0"/>
      <w:snapToGrid w:val="0"/>
      <w:spacing w:after="200" w:line="240" w:lineRule="auto"/>
    </w:pPr>
    <w:rPr>
      <w:rFonts w:ascii="Tahoma" w:hAnsi="Tahoma" w:eastAsia="微软雅黑" w:cstheme="minorBidi"/>
      <w:sz w:val="22"/>
      <w:szCs w:val="22"/>
      <w:lang w:val="en-US" w:eastAsia="zh-CN" w:bidi="ar-SA"/>
    </w:rPr>
  </w:style>
  <w:style w:type="character" w:default="1" w:styleId="7">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12"/>
    <w:semiHidden/>
    <w:unhideWhenUsed/>
    <w:qFormat/>
    <w:uiPriority w:val="99"/>
    <w:pPr>
      <w:spacing w:after="0"/>
    </w:pPr>
    <w:rPr>
      <w:sz w:val="18"/>
      <w:szCs w:val="18"/>
    </w:rPr>
  </w:style>
  <w:style w:type="paragraph" w:styleId="3">
    <w:name w:val="footer"/>
    <w:basedOn w:val="1"/>
    <w:link w:val="9"/>
    <w:unhideWhenUsed/>
    <w:qFormat/>
    <w:uiPriority w:val="0"/>
    <w:pPr>
      <w:widowControl w:val="0"/>
      <w:tabs>
        <w:tab w:val="center" w:pos="4153"/>
        <w:tab w:val="right" w:pos="8306"/>
      </w:tabs>
      <w:adjustRightInd/>
      <w:spacing w:after="0"/>
    </w:pPr>
    <w:rPr>
      <w:rFonts w:asciiTheme="minorHAnsi" w:hAnsiTheme="minorHAnsi" w:eastAsiaTheme="minorEastAsia"/>
      <w:kern w:val="2"/>
      <w:sz w:val="18"/>
      <w:szCs w:val="18"/>
    </w:rPr>
  </w:style>
  <w:style w:type="paragraph" w:styleId="4">
    <w:name w:val="header"/>
    <w:basedOn w:val="1"/>
    <w:link w:val="10"/>
    <w:unhideWhenUsed/>
    <w:qFormat/>
    <w:uiPriority w:val="99"/>
    <w:pPr>
      <w:widowControl w:val="0"/>
      <w:pBdr>
        <w:bottom w:val="single" w:color="auto" w:sz="6" w:space="1"/>
      </w:pBdr>
      <w:tabs>
        <w:tab w:val="center" w:pos="4153"/>
        <w:tab w:val="right" w:pos="8306"/>
      </w:tabs>
      <w:adjustRightInd/>
      <w:spacing w:after="0"/>
      <w:jc w:val="center"/>
    </w:pPr>
    <w:rPr>
      <w:rFonts w:asciiTheme="minorHAnsi" w:hAnsiTheme="minorHAnsi" w:eastAsiaTheme="minorEastAsia"/>
      <w:kern w:val="2"/>
      <w:sz w:val="18"/>
      <w:szCs w:val="18"/>
    </w:rPr>
  </w:style>
  <w:style w:type="paragraph" w:styleId="5">
    <w:name w:val="toc 2"/>
    <w:basedOn w:val="1"/>
    <w:next w:val="1"/>
    <w:unhideWhenUsed/>
    <w:qFormat/>
    <w:uiPriority w:val="39"/>
    <w:pPr>
      <w:widowControl w:val="0"/>
      <w:adjustRightInd/>
      <w:snapToGrid/>
      <w:spacing w:after="0"/>
      <w:ind w:left="210"/>
    </w:pPr>
    <w:rPr>
      <w:rFonts w:ascii="Calibri" w:hAnsi="Calibri" w:eastAsia="宋体" w:cs="Times New Roman"/>
      <w:smallCaps/>
      <w:kern w:val="2"/>
      <w:sz w:val="21"/>
    </w:rPr>
  </w:style>
  <w:style w:type="character" w:styleId="8">
    <w:name w:val="Hyperlink"/>
    <w:basedOn w:val="7"/>
    <w:unhideWhenUsed/>
    <w:qFormat/>
    <w:uiPriority w:val="99"/>
    <w:rPr>
      <w:color w:val="0000FF" w:themeColor="hyperlink"/>
      <w:u w:val="single"/>
    </w:rPr>
  </w:style>
  <w:style w:type="character" w:customStyle="1" w:styleId="9">
    <w:name w:val="页脚 Char"/>
    <w:basedOn w:val="7"/>
    <w:link w:val="3"/>
    <w:qFormat/>
    <w:uiPriority w:val="0"/>
    <w:rPr>
      <w:rFonts w:eastAsiaTheme="minorEastAsia"/>
      <w:kern w:val="2"/>
      <w:sz w:val="18"/>
      <w:szCs w:val="18"/>
    </w:rPr>
  </w:style>
  <w:style w:type="character" w:customStyle="1" w:styleId="10">
    <w:name w:val="页眉 Char"/>
    <w:basedOn w:val="7"/>
    <w:link w:val="4"/>
    <w:qFormat/>
    <w:uiPriority w:val="99"/>
    <w:rPr>
      <w:rFonts w:eastAsiaTheme="minorEastAsia"/>
      <w:kern w:val="2"/>
      <w:sz w:val="18"/>
      <w:szCs w:val="18"/>
    </w:rPr>
  </w:style>
  <w:style w:type="character" w:customStyle="1" w:styleId="11">
    <w:name w:val="breakword"/>
    <w:basedOn w:val="7"/>
    <w:qFormat/>
    <w:uiPriority w:val="0"/>
  </w:style>
  <w:style w:type="character" w:customStyle="1" w:styleId="12">
    <w:name w:val="批注框文本 Char"/>
    <w:basedOn w:val="7"/>
    <w:link w:val="2"/>
    <w:semiHidden/>
    <w:qFormat/>
    <w:uiPriority w:val="99"/>
    <w:rPr>
      <w:rFonts w:ascii="Tahoma" w:hAnsi="Tahoma"/>
      <w:sz w:val="18"/>
      <w:szCs w:val="18"/>
    </w:rPr>
  </w:style>
  <w:style w:type="paragraph" w:styleId="13">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Pages>
  <Words>758</Words>
  <Characters>843</Characters>
  <Lines>6</Lines>
  <Paragraphs>1</Paragraphs>
  <TotalTime>2</TotalTime>
  <ScaleCrop>false</ScaleCrop>
  <LinksUpToDate>false</LinksUpToDate>
  <CharactersWithSpaces>866</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2023-09-08T06:20:00Z</dcterms:created>
  <dc:creator>Administrator</dc:creator>
  <cp:lastModifiedBy>噹噹爱吃糖</cp:lastModifiedBy>
  <cp:lastPrinted>2025-11-19T01:02:40Z</cp:lastPrinted>
  <dcterms:modified xsi:type="dcterms:W3CDTF">2025-11-19T01:04:30Z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eyJoZGlkIjoiOWEzYmEwY2IwMTkxZTFhNzA2YzBiZTFmNGYyMWE4MzgiLCJ1c2VySWQiOiIzOTUyNTAxNTYifQ==</vt:lpwstr>
  </property>
  <property fmtid="{D5CDD505-2E9C-101B-9397-08002B2CF9AE}" pid="3" name="KSOProductBuildVer">
    <vt:lpwstr>2052-12.1.0.23542</vt:lpwstr>
  </property>
  <property fmtid="{D5CDD505-2E9C-101B-9397-08002B2CF9AE}" pid="4" name="ICV">
    <vt:lpwstr>E59EAD0AAE02436185E886DDC1DFFD40_12</vt:lpwstr>
  </property>
</Properties>
</file>