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B893DC">
      <w:pPr>
        <w:spacing w:line="360" w:lineRule="auto"/>
        <w:jc w:val="left"/>
        <w:rPr>
          <w:rFonts w:ascii="黑体" w:hAnsi="宋体" w:eastAsia="黑体"/>
          <w:b/>
          <w:sz w:val="48"/>
          <w:szCs w:val="48"/>
        </w:rPr>
      </w:pPr>
      <w:r>
        <w:rPr>
          <w:rFonts w:hint="eastAsia" w:ascii="仿宋_GB2312" w:cs="SimSun,Bold"/>
          <w:b/>
          <w:bCs/>
          <w:kern w:val="0"/>
          <w:sz w:val="44"/>
          <w:szCs w:val="44"/>
        </w:rPr>
        <w:drawing>
          <wp:inline distT="0" distB="0" distL="114300" distR="114300">
            <wp:extent cx="1973580" cy="439420"/>
            <wp:effectExtent l="0" t="0" r="7620" b="17780"/>
            <wp:docPr id="4" name="图片 1" descr="377d96bf055780fb0bc91ca9176a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377d96bf055780fb0bc91ca9176a950"/>
                    <pic:cNvPicPr>
                      <a:picLocks noChangeAspect="1"/>
                    </pic:cNvPicPr>
                  </pic:nvPicPr>
                  <pic:blipFill>
                    <a:blip r:embed="rId7"/>
                    <a:stretch>
                      <a:fillRect/>
                    </a:stretch>
                  </pic:blipFill>
                  <pic:spPr>
                    <a:xfrm>
                      <a:off x="0" y="0"/>
                      <a:ext cx="1973580" cy="439420"/>
                    </a:xfrm>
                    <a:prstGeom prst="rect">
                      <a:avLst/>
                    </a:prstGeom>
                    <a:noFill/>
                    <a:ln>
                      <a:noFill/>
                    </a:ln>
                  </pic:spPr>
                </pic:pic>
              </a:graphicData>
            </a:graphic>
          </wp:inline>
        </w:drawing>
      </w:r>
    </w:p>
    <w:p w14:paraId="698AF5EF">
      <w:pPr>
        <w:spacing w:line="360" w:lineRule="auto"/>
        <w:jc w:val="center"/>
        <w:rPr>
          <w:rFonts w:ascii="黑体" w:hAnsi="宋体" w:eastAsia="黑体"/>
          <w:b/>
          <w:sz w:val="48"/>
          <w:szCs w:val="48"/>
        </w:rPr>
      </w:pPr>
    </w:p>
    <w:p w14:paraId="53648BD1">
      <w:pPr>
        <w:spacing w:line="360" w:lineRule="auto"/>
        <w:jc w:val="center"/>
        <w:rPr>
          <w:rFonts w:hint="eastAsia" w:ascii="仿宋" w:hAnsi="仿宋" w:eastAsia="仿宋" w:cs="仿宋"/>
          <w:b/>
          <w:bCs w:val="0"/>
          <w:sz w:val="48"/>
          <w:szCs w:val="48"/>
        </w:rPr>
      </w:pPr>
    </w:p>
    <w:p w14:paraId="3C31A418">
      <w:pPr>
        <w:spacing w:line="360" w:lineRule="auto"/>
        <w:jc w:val="center"/>
        <w:rPr>
          <w:rFonts w:hint="eastAsia" w:ascii="仿宋" w:hAnsi="仿宋" w:eastAsia="仿宋" w:cs="仿宋"/>
          <w:b/>
          <w:bCs w:val="0"/>
          <w:sz w:val="48"/>
          <w:szCs w:val="48"/>
        </w:rPr>
      </w:pPr>
    </w:p>
    <w:p w14:paraId="0FF338FA">
      <w:pPr>
        <w:spacing w:line="360" w:lineRule="auto"/>
        <w:jc w:val="center"/>
        <w:rPr>
          <w:rFonts w:hint="eastAsia" w:ascii="仿宋" w:hAnsi="仿宋" w:eastAsia="仿宋" w:cs="仿宋"/>
          <w:b/>
          <w:bCs w:val="0"/>
          <w:sz w:val="48"/>
          <w:szCs w:val="48"/>
        </w:rPr>
      </w:pPr>
      <w:r>
        <w:rPr>
          <w:rFonts w:hint="eastAsia" w:ascii="仿宋" w:hAnsi="仿宋" w:eastAsia="仿宋" w:cs="仿宋"/>
          <w:b/>
          <w:bCs w:val="0"/>
          <w:sz w:val="48"/>
          <w:szCs w:val="48"/>
        </w:rPr>
        <w:t>顺和煤矿矿用隔爆型电缆接线盒</w:t>
      </w:r>
    </w:p>
    <w:p w14:paraId="582AB394">
      <w:pPr>
        <w:spacing w:line="360" w:lineRule="auto"/>
        <w:jc w:val="center"/>
        <w:rPr>
          <w:rFonts w:hint="eastAsia" w:ascii="仿宋" w:hAnsi="仿宋" w:eastAsia="仿宋" w:cs="仿宋"/>
          <w:b/>
          <w:bCs w:val="0"/>
          <w:sz w:val="48"/>
          <w:szCs w:val="48"/>
        </w:rPr>
      </w:pPr>
      <w:r>
        <w:rPr>
          <w:rFonts w:hint="eastAsia" w:ascii="仿宋" w:hAnsi="仿宋" w:eastAsia="仿宋" w:cs="仿宋"/>
          <w:b/>
          <w:bCs w:val="0"/>
          <w:sz w:val="48"/>
          <w:szCs w:val="48"/>
        </w:rPr>
        <w:t>技术规格书</w:t>
      </w:r>
    </w:p>
    <w:p w14:paraId="2FCB9FF2">
      <w:pPr>
        <w:spacing w:line="360" w:lineRule="auto"/>
        <w:jc w:val="center"/>
        <w:textAlignment w:val="baseline"/>
        <w:rPr>
          <w:rFonts w:ascii="宋体" w:hAnsi="宋体"/>
          <w:b/>
          <w:sz w:val="44"/>
        </w:rPr>
      </w:pPr>
    </w:p>
    <w:p w14:paraId="09538801">
      <w:pPr>
        <w:spacing w:line="360" w:lineRule="auto"/>
        <w:jc w:val="center"/>
        <w:textAlignment w:val="baseline"/>
        <w:rPr>
          <w:rFonts w:ascii="宋体" w:hAnsi="宋体"/>
          <w:b/>
          <w:sz w:val="44"/>
        </w:rPr>
      </w:pPr>
    </w:p>
    <w:p w14:paraId="3AF647AA">
      <w:pPr>
        <w:spacing w:line="360" w:lineRule="auto"/>
        <w:jc w:val="center"/>
        <w:textAlignment w:val="baseline"/>
        <w:rPr>
          <w:rFonts w:ascii="宋体" w:hAnsi="宋体"/>
          <w:b/>
          <w:sz w:val="36"/>
          <w:szCs w:val="36"/>
        </w:rPr>
      </w:pPr>
    </w:p>
    <w:p w14:paraId="5FD4A6EB">
      <w:pPr>
        <w:spacing w:line="360" w:lineRule="auto"/>
        <w:jc w:val="center"/>
        <w:textAlignment w:val="baseline"/>
        <w:rPr>
          <w:rFonts w:ascii="宋体" w:hAnsi="宋体"/>
          <w:b/>
          <w:sz w:val="36"/>
          <w:szCs w:val="36"/>
        </w:rPr>
      </w:pPr>
    </w:p>
    <w:p w14:paraId="460071B4">
      <w:pPr>
        <w:spacing w:line="360" w:lineRule="auto"/>
        <w:jc w:val="center"/>
        <w:textAlignment w:val="baseline"/>
        <w:rPr>
          <w:rFonts w:ascii="宋体" w:hAnsi="宋体"/>
          <w:b/>
          <w:sz w:val="36"/>
          <w:szCs w:val="36"/>
        </w:rPr>
      </w:pPr>
    </w:p>
    <w:p w14:paraId="3597CC1A">
      <w:pPr>
        <w:spacing w:line="360" w:lineRule="auto"/>
        <w:jc w:val="center"/>
        <w:textAlignment w:val="baseline"/>
        <w:rPr>
          <w:rFonts w:ascii="宋体" w:hAnsi="宋体"/>
          <w:b/>
          <w:sz w:val="36"/>
          <w:szCs w:val="36"/>
        </w:rPr>
      </w:pPr>
    </w:p>
    <w:p w14:paraId="0BFAFCDB">
      <w:pPr>
        <w:pStyle w:val="3"/>
        <w:ind w:left="0" w:leftChars="0" w:firstLine="0" w:firstLineChars="0"/>
        <w:rPr>
          <w:rFonts w:ascii="黑体" w:hAnsi="宋体" w:eastAsia="黑体"/>
          <w:sz w:val="32"/>
          <w:szCs w:val="32"/>
        </w:rPr>
      </w:pPr>
    </w:p>
    <w:p w14:paraId="06F473A6">
      <w:pPr>
        <w:pStyle w:val="3"/>
        <w:rPr>
          <w:rFonts w:ascii="黑体" w:hAnsi="宋体" w:eastAsia="黑体"/>
          <w:sz w:val="32"/>
          <w:szCs w:val="32"/>
        </w:rPr>
      </w:pPr>
    </w:p>
    <w:p w14:paraId="3A7A9EEF">
      <w:pPr>
        <w:keepNext w:val="0"/>
        <w:keepLines w:val="0"/>
        <w:pageBreakBefore w:val="0"/>
        <w:widowControl w:val="0"/>
        <w:kinsoku/>
        <w:wordWrap/>
        <w:overflowPunct/>
        <w:topLinePunct w:val="0"/>
        <w:autoSpaceDE/>
        <w:autoSpaceDN/>
        <w:bidi w:val="0"/>
        <w:adjustRightInd/>
        <w:spacing w:line="800" w:lineRule="exact"/>
        <w:ind w:firstLine="1967" w:firstLineChars="656"/>
        <w:textAlignment w:val="auto"/>
        <w:rPr>
          <w:rFonts w:hint="eastAsia" w:ascii="仿宋" w:hAnsi="仿宋" w:eastAsia="仿宋" w:cs="仿宋"/>
          <w:b/>
          <w:sz w:val="36"/>
          <w:szCs w:val="36"/>
        </w:rPr>
      </w:pPr>
      <w:r>
        <w:rPr>
          <w:rFonts w:hint="eastAsia" w:ascii="仿宋" w:hAnsi="仿宋" w:eastAsia="仿宋" w:cs="仿宋"/>
          <w:bCs/>
          <w:sz w:val="30"/>
          <w:szCs w:val="30"/>
          <w:lang w:eastAsia="zh-CN"/>
        </w:rPr>
        <w:t>编制单位：机电科</w:t>
      </w:r>
    </w:p>
    <w:p w14:paraId="03BAB2BB">
      <w:pPr>
        <w:keepNext w:val="0"/>
        <w:keepLines w:val="0"/>
        <w:pageBreakBefore w:val="0"/>
        <w:widowControl w:val="0"/>
        <w:kinsoku/>
        <w:wordWrap/>
        <w:overflowPunct/>
        <w:topLinePunct w:val="0"/>
        <w:autoSpaceDE/>
        <w:autoSpaceDN/>
        <w:bidi w:val="0"/>
        <w:adjustRightInd/>
        <w:spacing w:line="800" w:lineRule="exact"/>
        <w:ind w:firstLine="1967" w:firstLineChars="656"/>
        <w:textAlignment w:val="auto"/>
        <w:rPr>
          <w:rFonts w:hint="eastAsia" w:ascii="仿宋" w:hAnsi="仿宋" w:eastAsia="仿宋" w:cs="仿宋"/>
          <w:bCs/>
          <w:sz w:val="30"/>
          <w:szCs w:val="30"/>
        </w:rPr>
      </w:pPr>
      <w:r>
        <w:rPr>
          <w:rFonts w:hint="eastAsia" w:ascii="仿宋" w:hAnsi="仿宋" w:eastAsia="仿宋" w:cs="仿宋"/>
          <w:bCs/>
          <w:sz w:val="30"/>
          <w:szCs w:val="30"/>
        </w:rPr>
        <w:t>编    制</w:t>
      </w:r>
      <w:r>
        <w:rPr>
          <w:rFonts w:hint="eastAsia" w:ascii="仿宋" w:hAnsi="仿宋" w:eastAsia="仿宋" w:cs="仿宋"/>
          <w:sz w:val="30"/>
          <w:szCs w:val="30"/>
        </w:rPr>
        <w:t>：</w:t>
      </w:r>
    </w:p>
    <w:p w14:paraId="61E48C1E">
      <w:pPr>
        <w:keepNext w:val="0"/>
        <w:keepLines w:val="0"/>
        <w:pageBreakBefore w:val="0"/>
        <w:widowControl w:val="0"/>
        <w:kinsoku/>
        <w:wordWrap/>
        <w:overflowPunct/>
        <w:topLinePunct w:val="0"/>
        <w:autoSpaceDE/>
        <w:autoSpaceDN/>
        <w:bidi w:val="0"/>
        <w:adjustRightInd/>
        <w:spacing w:line="800" w:lineRule="exact"/>
        <w:ind w:firstLine="1967" w:firstLineChars="656"/>
        <w:textAlignment w:val="auto"/>
        <w:rPr>
          <w:rFonts w:hint="eastAsia" w:ascii="仿宋" w:hAnsi="仿宋" w:eastAsia="仿宋" w:cs="仿宋"/>
          <w:bCs/>
          <w:sz w:val="30"/>
          <w:szCs w:val="30"/>
        </w:rPr>
      </w:pPr>
      <w:r>
        <w:rPr>
          <w:rFonts w:hint="eastAsia" w:ascii="仿宋" w:hAnsi="仿宋" w:eastAsia="仿宋" w:cs="仿宋"/>
          <w:bCs/>
          <w:sz w:val="30"/>
          <w:szCs w:val="30"/>
        </w:rPr>
        <w:t>审    核：</w:t>
      </w:r>
    </w:p>
    <w:p w14:paraId="50C8203F">
      <w:pPr>
        <w:keepNext w:val="0"/>
        <w:keepLines w:val="0"/>
        <w:pageBreakBefore w:val="0"/>
        <w:widowControl w:val="0"/>
        <w:kinsoku/>
        <w:wordWrap/>
        <w:overflowPunct/>
        <w:topLinePunct w:val="0"/>
        <w:autoSpaceDE/>
        <w:autoSpaceDN/>
        <w:bidi w:val="0"/>
        <w:adjustRightInd/>
        <w:spacing w:line="800" w:lineRule="exact"/>
        <w:ind w:firstLine="1967" w:firstLineChars="656"/>
        <w:textAlignment w:val="auto"/>
        <w:rPr>
          <w:rFonts w:hint="eastAsia" w:ascii="仿宋" w:hAnsi="仿宋" w:eastAsia="仿宋" w:cs="仿宋"/>
          <w:bCs/>
          <w:sz w:val="30"/>
          <w:szCs w:val="30"/>
        </w:rPr>
      </w:pPr>
      <w:r>
        <w:rPr>
          <w:rFonts w:hint="eastAsia" w:ascii="仿宋" w:hAnsi="仿宋" w:eastAsia="仿宋" w:cs="仿宋"/>
          <w:bCs/>
          <w:sz w:val="30"/>
          <w:szCs w:val="30"/>
        </w:rPr>
        <w:t>机电副总</w:t>
      </w:r>
      <w:r>
        <w:rPr>
          <w:rFonts w:hint="eastAsia" w:ascii="仿宋" w:hAnsi="仿宋" w:eastAsia="仿宋" w:cs="仿宋"/>
          <w:sz w:val="30"/>
          <w:szCs w:val="30"/>
        </w:rPr>
        <w:t>：</w:t>
      </w:r>
    </w:p>
    <w:p w14:paraId="537477EE">
      <w:pPr>
        <w:keepNext w:val="0"/>
        <w:keepLines w:val="0"/>
        <w:pageBreakBefore w:val="0"/>
        <w:widowControl w:val="0"/>
        <w:kinsoku/>
        <w:wordWrap/>
        <w:overflowPunct/>
        <w:topLinePunct w:val="0"/>
        <w:autoSpaceDE/>
        <w:autoSpaceDN/>
        <w:bidi w:val="0"/>
        <w:adjustRightInd/>
        <w:spacing w:line="800" w:lineRule="exact"/>
        <w:ind w:firstLine="1967" w:firstLineChars="656"/>
        <w:textAlignment w:val="auto"/>
        <w:rPr>
          <w:rFonts w:hint="eastAsia" w:ascii="仿宋" w:hAnsi="仿宋" w:eastAsia="仿宋" w:cs="仿宋"/>
          <w:b/>
          <w:sz w:val="44"/>
          <w:szCs w:val="44"/>
        </w:rPr>
        <w:sectPr>
          <w:footerReference r:id="rId3" w:type="default"/>
          <w:pgSz w:w="11906" w:h="16838"/>
          <w:pgMar w:top="1440" w:right="1474" w:bottom="1440" w:left="1588" w:header="851" w:footer="992" w:gutter="0"/>
          <w:pgNumType w:fmt="decimal"/>
          <w:cols w:space="720" w:num="1"/>
          <w:docGrid w:type="lines" w:linePitch="312" w:charSpace="0"/>
        </w:sectPr>
      </w:pPr>
      <w:r>
        <w:rPr>
          <w:rFonts w:hint="eastAsia" w:ascii="仿宋" w:hAnsi="仿宋" w:eastAsia="仿宋" w:cs="仿宋"/>
          <w:bCs/>
          <w:sz w:val="30"/>
          <w:szCs w:val="30"/>
        </w:rPr>
        <w:t>日    期</w:t>
      </w:r>
      <w:r>
        <w:rPr>
          <w:rFonts w:hint="eastAsia" w:ascii="仿宋" w:hAnsi="仿宋" w:eastAsia="仿宋" w:cs="仿宋"/>
          <w:sz w:val="30"/>
          <w:szCs w:val="30"/>
        </w:rPr>
        <w:t>：20</w:t>
      </w:r>
      <w:r>
        <w:rPr>
          <w:rFonts w:hint="eastAsia" w:ascii="仿宋" w:hAnsi="仿宋" w:eastAsia="仿宋" w:cs="仿宋"/>
          <w:sz w:val="30"/>
          <w:szCs w:val="30"/>
          <w:lang w:val="en-US" w:eastAsia="zh-CN"/>
        </w:rPr>
        <w:t>25</w:t>
      </w:r>
      <w:r>
        <w:rPr>
          <w:rFonts w:hint="eastAsia" w:ascii="仿宋" w:hAnsi="仿宋" w:eastAsia="仿宋" w:cs="仿宋"/>
          <w:sz w:val="30"/>
          <w:szCs w:val="30"/>
        </w:rPr>
        <w:t>年</w:t>
      </w:r>
      <w:r>
        <w:rPr>
          <w:rFonts w:hint="eastAsia" w:ascii="仿宋" w:hAnsi="仿宋" w:eastAsia="仿宋" w:cs="仿宋"/>
          <w:sz w:val="30"/>
          <w:szCs w:val="30"/>
          <w:lang w:val="en-US" w:eastAsia="zh-CN"/>
        </w:rPr>
        <w:t>11</w:t>
      </w:r>
      <w:r>
        <w:rPr>
          <w:rFonts w:hint="eastAsia" w:ascii="仿宋" w:hAnsi="仿宋" w:eastAsia="仿宋" w:cs="仿宋"/>
          <w:sz w:val="30"/>
          <w:szCs w:val="30"/>
        </w:rPr>
        <w:t>月</w:t>
      </w:r>
      <w:r>
        <w:rPr>
          <w:rFonts w:hint="eastAsia" w:ascii="仿宋" w:hAnsi="仿宋" w:eastAsia="仿宋" w:cs="仿宋"/>
          <w:sz w:val="30"/>
          <w:szCs w:val="30"/>
          <w:lang w:val="en-US" w:eastAsia="zh-CN"/>
        </w:rPr>
        <w:t>10</w:t>
      </w:r>
      <w:r>
        <w:rPr>
          <w:rFonts w:hint="eastAsia" w:ascii="仿宋" w:hAnsi="仿宋" w:eastAsia="仿宋" w:cs="仿宋"/>
          <w:sz w:val="30"/>
          <w:szCs w:val="30"/>
        </w:rPr>
        <w:t>日</w:t>
      </w:r>
    </w:p>
    <w:p w14:paraId="1C005C9C">
      <w:pPr>
        <w:pStyle w:val="3"/>
        <w:rPr>
          <w:rFonts w:hint="eastAsia"/>
        </w:rPr>
      </w:pPr>
    </w:p>
    <w:p w14:paraId="12019352">
      <w:pPr>
        <w:snapToGrid w:val="0"/>
        <w:spacing w:line="60" w:lineRule="atLeast"/>
        <w:jc w:val="center"/>
        <w:rPr>
          <w:rFonts w:hint="eastAsia" w:ascii="仿宋" w:hAnsi="仿宋" w:eastAsia="仿宋" w:cs="仿宋"/>
          <w:b/>
          <w:sz w:val="44"/>
          <w:szCs w:val="44"/>
        </w:rPr>
      </w:pPr>
      <w:r>
        <w:rPr>
          <w:rFonts w:hint="eastAsia" w:ascii="仿宋" w:hAnsi="仿宋" w:eastAsia="仿宋" w:cs="仿宋"/>
          <w:b/>
          <w:sz w:val="44"/>
          <w:szCs w:val="44"/>
        </w:rPr>
        <w:t>顺和煤矿矿用隔爆型电缆接线盒</w:t>
      </w:r>
    </w:p>
    <w:p w14:paraId="357059E0">
      <w:pPr>
        <w:snapToGrid w:val="0"/>
        <w:spacing w:line="60" w:lineRule="atLeast"/>
        <w:jc w:val="center"/>
        <w:rPr>
          <w:rFonts w:hint="eastAsia" w:ascii="仿宋" w:hAnsi="仿宋" w:eastAsia="仿宋" w:cs="仿宋"/>
          <w:b/>
          <w:sz w:val="44"/>
          <w:szCs w:val="44"/>
        </w:rPr>
      </w:pPr>
      <w:r>
        <w:rPr>
          <w:rFonts w:hint="eastAsia" w:ascii="仿宋" w:hAnsi="仿宋" w:eastAsia="仿宋" w:cs="仿宋"/>
          <w:b/>
          <w:sz w:val="44"/>
          <w:szCs w:val="44"/>
        </w:rPr>
        <w:t>技术规格书</w:t>
      </w:r>
    </w:p>
    <w:p w14:paraId="7967F5EA">
      <w:pPr>
        <w:adjustRightInd w:val="0"/>
        <w:snapToGrid w:val="0"/>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一、项目简介及使用地点</w:t>
      </w:r>
    </w:p>
    <w:p w14:paraId="7DE76AEA">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顺和煤矿</w:t>
      </w:r>
      <w:r>
        <w:rPr>
          <w:rFonts w:hint="eastAsia" w:ascii="仿宋" w:hAnsi="仿宋" w:eastAsia="仿宋" w:cs="仿宋"/>
          <w:sz w:val="28"/>
          <w:szCs w:val="28"/>
          <w:lang w:val="en-US" w:eastAsia="zh-CN"/>
        </w:rPr>
        <w:t>需购置一批</w:t>
      </w:r>
      <w:r>
        <w:rPr>
          <w:rFonts w:hint="eastAsia" w:ascii="仿宋" w:hAnsi="仿宋" w:eastAsia="仿宋" w:cs="仿宋"/>
          <w:sz w:val="28"/>
          <w:szCs w:val="28"/>
        </w:rPr>
        <w:t>矿用隔爆型电缆接线盒</w:t>
      </w:r>
      <w:r>
        <w:rPr>
          <w:rFonts w:hint="eastAsia" w:ascii="仿宋" w:hAnsi="仿宋" w:eastAsia="仿宋" w:cs="仿宋"/>
          <w:sz w:val="28"/>
          <w:szCs w:val="28"/>
          <w:lang w:eastAsia="zh-CN"/>
        </w:rPr>
        <w:t>，用于</w:t>
      </w:r>
      <w:r>
        <w:rPr>
          <w:rFonts w:hint="eastAsia" w:ascii="仿宋" w:hAnsi="仿宋" w:eastAsia="仿宋" w:cs="仿宋"/>
          <w:sz w:val="28"/>
          <w:szCs w:val="28"/>
        </w:rPr>
        <w:t>煤矿井下</w:t>
      </w:r>
      <w:r>
        <w:rPr>
          <w:rFonts w:hint="eastAsia" w:ascii="仿宋" w:hAnsi="仿宋" w:eastAsia="仿宋" w:cs="仿宋"/>
          <w:sz w:val="28"/>
          <w:szCs w:val="28"/>
          <w:lang w:val="en-US" w:eastAsia="zh-CN"/>
        </w:rPr>
        <w:t>采掘</w:t>
      </w:r>
      <w:r>
        <w:rPr>
          <w:rFonts w:hint="eastAsia" w:ascii="仿宋" w:hAnsi="仿宋" w:eastAsia="仿宋" w:cs="仿宋"/>
          <w:sz w:val="28"/>
          <w:szCs w:val="28"/>
        </w:rPr>
        <w:t>工作面。</w:t>
      </w:r>
    </w:p>
    <w:p w14:paraId="623C4430">
      <w:pPr>
        <w:adjustRightInd w:val="0"/>
        <w:snapToGrid w:val="0"/>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二、货物名称及供货范围</w:t>
      </w:r>
    </w:p>
    <w:tbl>
      <w:tblPr>
        <w:tblStyle w:val="6"/>
        <w:tblW w:w="9559" w:type="dxa"/>
        <w:jc w:val="center"/>
        <w:tblLayout w:type="fixed"/>
        <w:tblCellMar>
          <w:top w:w="0" w:type="dxa"/>
          <w:left w:w="108" w:type="dxa"/>
          <w:bottom w:w="0" w:type="dxa"/>
          <w:right w:w="108" w:type="dxa"/>
        </w:tblCellMar>
      </w:tblPr>
      <w:tblGrid>
        <w:gridCol w:w="641"/>
        <w:gridCol w:w="2986"/>
        <w:gridCol w:w="2564"/>
        <w:gridCol w:w="1104"/>
        <w:gridCol w:w="1146"/>
        <w:gridCol w:w="1118"/>
      </w:tblGrid>
      <w:tr w14:paraId="2B0ABD2B">
        <w:tblPrEx>
          <w:tblCellMar>
            <w:top w:w="0" w:type="dxa"/>
            <w:left w:w="108" w:type="dxa"/>
            <w:bottom w:w="0" w:type="dxa"/>
            <w:right w:w="108" w:type="dxa"/>
          </w:tblCellMar>
        </w:tblPrEx>
        <w:trPr>
          <w:trHeight w:val="610" w:hRule="atLeast"/>
          <w:jc w:val="center"/>
        </w:trPr>
        <w:tc>
          <w:tcPr>
            <w:tcW w:w="641" w:type="dxa"/>
            <w:tcBorders>
              <w:top w:val="single" w:color="auto" w:sz="4" w:space="0"/>
              <w:left w:val="single" w:color="auto" w:sz="4" w:space="0"/>
              <w:bottom w:val="single" w:color="auto" w:sz="4" w:space="0"/>
              <w:right w:val="single" w:color="auto" w:sz="4" w:space="0"/>
            </w:tcBorders>
            <w:vAlign w:val="center"/>
          </w:tcPr>
          <w:p w14:paraId="0CCB2D78">
            <w:pPr>
              <w:widowControl/>
              <w:jc w:val="center"/>
              <w:rPr>
                <w:rFonts w:hint="eastAsia" w:ascii="仿宋" w:hAnsi="仿宋" w:eastAsia="仿宋" w:cs="仿宋"/>
                <w:b/>
                <w:kern w:val="0"/>
                <w:szCs w:val="21"/>
              </w:rPr>
            </w:pPr>
            <w:r>
              <w:rPr>
                <w:rFonts w:hint="eastAsia" w:ascii="仿宋" w:hAnsi="仿宋" w:eastAsia="仿宋" w:cs="仿宋"/>
                <w:b/>
                <w:kern w:val="0"/>
                <w:szCs w:val="21"/>
              </w:rPr>
              <w:t>序号</w:t>
            </w:r>
          </w:p>
        </w:tc>
        <w:tc>
          <w:tcPr>
            <w:tcW w:w="2986" w:type="dxa"/>
            <w:tcBorders>
              <w:top w:val="single" w:color="auto" w:sz="4" w:space="0"/>
              <w:left w:val="nil"/>
              <w:bottom w:val="single" w:color="auto" w:sz="4" w:space="0"/>
              <w:right w:val="single" w:color="auto" w:sz="4" w:space="0"/>
            </w:tcBorders>
            <w:vAlign w:val="center"/>
          </w:tcPr>
          <w:p w14:paraId="757E8A21">
            <w:pPr>
              <w:widowControl/>
              <w:jc w:val="center"/>
              <w:rPr>
                <w:rFonts w:hint="eastAsia" w:ascii="仿宋" w:hAnsi="仿宋" w:eastAsia="仿宋" w:cs="仿宋"/>
                <w:b/>
                <w:kern w:val="0"/>
                <w:szCs w:val="21"/>
              </w:rPr>
            </w:pPr>
            <w:r>
              <w:rPr>
                <w:rFonts w:hint="eastAsia" w:ascii="仿宋" w:hAnsi="仿宋" w:eastAsia="仿宋" w:cs="仿宋"/>
                <w:b/>
                <w:kern w:val="0"/>
                <w:szCs w:val="21"/>
              </w:rPr>
              <w:t>名称</w:t>
            </w:r>
          </w:p>
        </w:tc>
        <w:tc>
          <w:tcPr>
            <w:tcW w:w="2564" w:type="dxa"/>
            <w:tcBorders>
              <w:top w:val="single" w:color="auto" w:sz="4" w:space="0"/>
              <w:left w:val="nil"/>
              <w:bottom w:val="single" w:color="auto" w:sz="4" w:space="0"/>
              <w:right w:val="single" w:color="auto" w:sz="4" w:space="0"/>
            </w:tcBorders>
            <w:vAlign w:val="center"/>
          </w:tcPr>
          <w:p w14:paraId="2B60975F">
            <w:pPr>
              <w:widowControl/>
              <w:jc w:val="center"/>
              <w:rPr>
                <w:rFonts w:hint="eastAsia" w:ascii="仿宋" w:hAnsi="仿宋" w:eastAsia="仿宋" w:cs="仿宋"/>
                <w:b/>
                <w:kern w:val="0"/>
                <w:szCs w:val="21"/>
              </w:rPr>
            </w:pPr>
            <w:r>
              <w:rPr>
                <w:rFonts w:hint="eastAsia" w:ascii="仿宋" w:hAnsi="仿宋" w:eastAsia="仿宋" w:cs="仿宋"/>
                <w:b/>
                <w:kern w:val="0"/>
                <w:szCs w:val="21"/>
              </w:rPr>
              <w:t>规格型号(参考型号)</w:t>
            </w:r>
          </w:p>
        </w:tc>
        <w:tc>
          <w:tcPr>
            <w:tcW w:w="1104" w:type="dxa"/>
            <w:tcBorders>
              <w:top w:val="single" w:color="auto" w:sz="4" w:space="0"/>
              <w:bottom w:val="single" w:color="auto" w:sz="4" w:space="0"/>
              <w:right w:val="single" w:color="auto" w:sz="4" w:space="0"/>
            </w:tcBorders>
            <w:vAlign w:val="center"/>
          </w:tcPr>
          <w:p w14:paraId="539EFD43">
            <w:pPr>
              <w:widowControl/>
              <w:jc w:val="center"/>
              <w:rPr>
                <w:rFonts w:hint="eastAsia" w:ascii="仿宋" w:hAnsi="仿宋" w:eastAsia="仿宋" w:cs="仿宋"/>
                <w:b/>
                <w:kern w:val="0"/>
                <w:szCs w:val="21"/>
                <w:lang w:eastAsia="zh-CN"/>
              </w:rPr>
            </w:pPr>
            <w:r>
              <w:rPr>
                <w:rFonts w:hint="eastAsia" w:ascii="仿宋" w:hAnsi="仿宋" w:eastAsia="仿宋" w:cs="仿宋"/>
                <w:b/>
                <w:kern w:val="0"/>
                <w:szCs w:val="21"/>
                <w:lang w:eastAsia="zh-CN"/>
              </w:rPr>
              <w:t>单位</w:t>
            </w:r>
          </w:p>
        </w:tc>
        <w:tc>
          <w:tcPr>
            <w:tcW w:w="1146" w:type="dxa"/>
            <w:tcBorders>
              <w:top w:val="single" w:color="auto" w:sz="4" w:space="0"/>
              <w:bottom w:val="single" w:color="auto" w:sz="4" w:space="0"/>
              <w:right w:val="single" w:color="auto" w:sz="4" w:space="0"/>
            </w:tcBorders>
            <w:vAlign w:val="center"/>
          </w:tcPr>
          <w:p w14:paraId="069509F1">
            <w:pPr>
              <w:widowControl/>
              <w:jc w:val="center"/>
              <w:rPr>
                <w:rFonts w:hint="eastAsia" w:ascii="仿宋" w:hAnsi="仿宋" w:eastAsia="仿宋" w:cs="仿宋"/>
                <w:b/>
                <w:kern w:val="0"/>
                <w:szCs w:val="21"/>
                <w:lang w:eastAsia="zh-CN"/>
              </w:rPr>
            </w:pPr>
            <w:r>
              <w:rPr>
                <w:rFonts w:hint="eastAsia" w:ascii="仿宋" w:hAnsi="仿宋" w:eastAsia="仿宋" w:cs="仿宋"/>
                <w:b/>
                <w:kern w:val="0"/>
                <w:szCs w:val="21"/>
                <w:lang w:eastAsia="zh-CN"/>
              </w:rPr>
              <w:t>数量</w:t>
            </w:r>
          </w:p>
        </w:tc>
        <w:tc>
          <w:tcPr>
            <w:tcW w:w="1118" w:type="dxa"/>
            <w:tcBorders>
              <w:top w:val="single" w:color="auto" w:sz="4" w:space="0"/>
              <w:bottom w:val="single" w:color="auto" w:sz="4" w:space="0"/>
              <w:right w:val="single" w:color="auto" w:sz="4" w:space="0"/>
            </w:tcBorders>
            <w:vAlign w:val="center"/>
          </w:tcPr>
          <w:p w14:paraId="5DF5AF6A">
            <w:pPr>
              <w:widowControl/>
              <w:jc w:val="center"/>
              <w:rPr>
                <w:rFonts w:hint="eastAsia" w:ascii="仿宋" w:hAnsi="仿宋" w:eastAsia="仿宋" w:cs="仿宋"/>
                <w:b/>
                <w:kern w:val="0"/>
                <w:szCs w:val="21"/>
              </w:rPr>
            </w:pPr>
            <w:r>
              <w:rPr>
                <w:rFonts w:hint="eastAsia" w:ascii="仿宋" w:hAnsi="仿宋" w:eastAsia="仿宋" w:cs="仿宋"/>
                <w:b/>
                <w:kern w:val="0"/>
                <w:szCs w:val="21"/>
              </w:rPr>
              <w:t>备注</w:t>
            </w:r>
          </w:p>
        </w:tc>
      </w:tr>
      <w:tr w14:paraId="4951CDD4">
        <w:tblPrEx>
          <w:tblCellMar>
            <w:top w:w="0" w:type="dxa"/>
            <w:left w:w="108" w:type="dxa"/>
            <w:bottom w:w="0" w:type="dxa"/>
            <w:right w:w="108" w:type="dxa"/>
          </w:tblCellMar>
        </w:tblPrEx>
        <w:trPr>
          <w:trHeight w:val="600" w:hRule="exact"/>
          <w:jc w:val="center"/>
        </w:trPr>
        <w:tc>
          <w:tcPr>
            <w:tcW w:w="641" w:type="dxa"/>
            <w:tcBorders>
              <w:top w:val="single" w:color="auto" w:sz="4" w:space="0"/>
              <w:left w:val="single" w:color="auto" w:sz="4" w:space="0"/>
              <w:bottom w:val="single" w:color="auto" w:sz="4" w:space="0"/>
              <w:right w:val="single" w:color="auto" w:sz="4" w:space="0"/>
            </w:tcBorders>
            <w:vAlign w:val="center"/>
          </w:tcPr>
          <w:p w14:paraId="209432D6">
            <w:pPr>
              <w:widowControl/>
              <w:jc w:val="center"/>
              <w:rPr>
                <w:rFonts w:hint="eastAsia" w:ascii="仿宋" w:hAnsi="仿宋" w:eastAsia="仿宋" w:cs="仿宋"/>
                <w:kern w:val="0"/>
                <w:sz w:val="24"/>
                <w:szCs w:val="24"/>
                <w:lang w:val="en-US" w:eastAsia="zh-CN" w:bidi="ar-SA"/>
              </w:rPr>
            </w:pPr>
            <w:bookmarkStart w:id="0" w:name="OLE_LINK1" w:colFirst="2" w:colLast="4"/>
            <w:r>
              <w:rPr>
                <w:rFonts w:hint="eastAsia" w:ascii="仿宋" w:hAnsi="仿宋" w:eastAsia="仿宋" w:cs="仿宋"/>
                <w:kern w:val="0"/>
                <w:sz w:val="24"/>
              </w:rPr>
              <w:t>1</w:t>
            </w:r>
          </w:p>
        </w:tc>
        <w:tc>
          <w:tcPr>
            <w:tcW w:w="2986" w:type="dxa"/>
            <w:tcBorders>
              <w:top w:val="single" w:color="auto" w:sz="4" w:space="0"/>
              <w:left w:val="single" w:color="auto" w:sz="4" w:space="0"/>
              <w:bottom w:val="single" w:color="auto" w:sz="4" w:space="0"/>
              <w:right w:val="single" w:color="auto" w:sz="4" w:space="0"/>
            </w:tcBorders>
            <w:vAlign w:val="center"/>
          </w:tcPr>
          <w:p w14:paraId="3449598E">
            <w:pPr>
              <w:widowControl/>
              <w:jc w:val="center"/>
              <w:rPr>
                <w:rFonts w:hint="eastAsia" w:ascii="仿宋" w:hAnsi="仿宋" w:eastAsia="仿宋" w:cs="仿宋"/>
                <w:szCs w:val="21"/>
                <w:lang w:eastAsia="zh-CN"/>
              </w:rPr>
            </w:pPr>
            <w:r>
              <w:rPr>
                <w:rFonts w:hint="eastAsia" w:ascii="仿宋" w:hAnsi="仿宋" w:eastAsia="仿宋" w:cs="仿宋"/>
                <w:szCs w:val="21"/>
              </w:rPr>
              <w:t>煤矿用隔爆型低压电缆接线盒</w:t>
            </w:r>
          </w:p>
        </w:tc>
        <w:tc>
          <w:tcPr>
            <w:tcW w:w="2564" w:type="dxa"/>
            <w:tcBorders>
              <w:top w:val="single" w:color="auto" w:sz="4" w:space="0"/>
              <w:left w:val="single" w:color="auto" w:sz="4" w:space="0"/>
              <w:bottom w:val="single" w:color="auto" w:sz="4" w:space="0"/>
              <w:right w:val="single" w:color="auto" w:sz="4" w:space="0"/>
            </w:tcBorders>
            <w:vAlign w:val="center"/>
          </w:tcPr>
          <w:p w14:paraId="5914E94A">
            <w:pPr>
              <w:widowControl/>
              <w:jc w:val="center"/>
              <w:rPr>
                <w:rFonts w:hint="eastAsia" w:ascii="仿宋" w:hAnsi="仿宋" w:eastAsia="仿宋" w:cs="仿宋"/>
                <w:szCs w:val="21"/>
              </w:rPr>
            </w:pPr>
            <w:r>
              <w:rPr>
                <w:rFonts w:hint="eastAsia" w:ascii="仿宋" w:hAnsi="仿宋" w:eastAsia="仿宋" w:cs="仿宋"/>
                <w:szCs w:val="21"/>
                <w:lang w:eastAsia="zh-CN"/>
              </w:rPr>
              <w:t>BHD2-20/127-6G</w:t>
            </w:r>
          </w:p>
        </w:tc>
        <w:tc>
          <w:tcPr>
            <w:tcW w:w="1104" w:type="dxa"/>
            <w:tcBorders>
              <w:top w:val="single" w:color="auto" w:sz="4" w:space="0"/>
              <w:left w:val="single" w:color="auto" w:sz="4" w:space="0"/>
              <w:bottom w:val="single" w:color="auto" w:sz="4" w:space="0"/>
              <w:right w:val="single" w:color="auto" w:sz="4" w:space="0"/>
            </w:tcBorders>
            <w:vAlign w:val="center"/>
          </w:tcPr>
          <w:p w14:paraId="75AC319F">
            <w:pPr>
              <w:widowControl/>
              <w:jc w:val="center"/>
              <w:rPr>
                <w:rFonts w:hint="eastAsia" w:ascii="仿宋" w:hAnsi="仿宋" w:eastAsia="仿宋" w:cs="仿宋"/>
                <w:szCs w:val="21"/>
                <w:lang w:eastAsia="zh-CN"/>
              </w:rPr>
            </w:pPr>
            <w:r>
              <w:rPr>
                <w:rFonts w:hint="eastAsia" w:ascii="仿宋" w:hAnsi="仿宋" w:eastAsia="仿宋" w:cs="仿宋"/>
                <w:szCs w:val="21"/>
                <w:lang w:eastAsia="zh-CN"/>
              </w:rPr>
              <w:t>个</w:t>
            </w:r>
          </w:p>
        </w:tc>
        <w:tc>
          <w:tcPr>
            <w:tcW w:w="1146" w:type="dxa"/>
            <w:tcBorders>
              <w:top w:val="single" w:color="auto" w:sz="4" w:space="0"/>
              <w:left w:val="single" w:color="auto" w:sz="4" w:space="0"/>
              <w:bottom w:val="single" w:color="auto" w:sz="4" w:space="0"/>
              <w:right w:val="single" w:color="auto" w:sz="4" w:space="0"/>
            </w:tcBorders>
            <w:vAlign w:val="center"/>
          </w:tcPr>
          <w:p w14:paraId="0C6A0AB7">
            <w:pPr>
              <w:widowControl/>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w:t>
            </w:r>
          </w:p>
        </w:tc>
        <w:tc>
          <w:tcPr>
            <w:tcW w:w="1118" w:type="dxa"/>
            <w:vMerge w:val="restart"/>
            <w:tcBorders>
              <w:top w:val="single" w:color="auto" w:sz="4" w:space="0"/>
              <w:left w:val="single" w:color="auto" w:sz="4" w:space="0"/>
              <w:right w:val="single" w:color="auto" w:sz="4" w:space="0"/>
            </w:tcBorders>
            <w:vAlign w:val="center"/>
          </w:tcPr>
          <w:p w14:paraId="6F678471">
            <w:pPr>
              <w:widowControl/>
              <w:jc w:val="center"/>
              <w:rPr>
                <w:rFonts w:hint="eastAsia" w:ascii="仿宋" w:hAnsi="仿宋" w:eastAsia="仿宋" w:cs="仿宋"/>
                <w:kern w:val="0"/>
                <w:sz w:val="24"/>
                <w:lang w:eastAsia="zh-CN"/>
              </w:rPr>
            </w:pPr>
            <w:r>
              <w:rPr>
                <w:rFonts w:hint="eastAsia" w:ascii="仿宋" w:hAnsi="仿宋" w:eastAsia="仿宋" w:cs="仿宋"/>
                <w:sz w:val="20"/>
                <w:szCs w:val="20"/>
                <w:lang w:val="en-US" w:eastAsia="zh-CN"/>
              </w:rPr>
              <w:t>钢板制成</w:t>
            </w:r>
          </w:p>
        </w:tc>
      </w:tr>
      <w:tr w14:paraId="39AA4443">
        <w:tblPrEx>
          <w:tblCellMar>
            <w:top w:w="0" w:type="dxa"/>
            <w:left w:w="108" w:type="dxa"/>
            <w:bottom w:w="0" w:type="dxa"/>
            <w:right w:w="108" w:type="dxa"/>
          </w:tblCellMar>
        </w:tblPrEx>
        <w:trPr>
          <w:trHeight w:val="600" w:hRule="exact"/>
          <w:jc w:val="center"/>
        </w:trPr>
        <w:tc>
          <w:tcPr>
            <w:tcW w:w="641" w:type="dxa"/>
            <w:tcBorders>
              <w:top w:val="single" w:color="auto" w:sz="4" w:space="0"/>
              <w:left w:val="single" w:color="auto" w:sz="4" w:space="0"/>
              <w:bottom w:val="single" w:color="auto" w:sz="4" w:space="0"/>
              <w:right w:val="single" w:color="auto" w:sz="4" w:space="0"/>
            </w:tcBorders>
            <w:vAlign w:val="center"/>
          </w:tcPr>
          <w:p w14:paraId="09117ED9">
            <w:pPr>
              <w:widowControl/>
              <w:jc w:val="center"/>
              <w:rPr>
                <w:rFonts w:hint="eastAsia" w:ascii="仿宋" w:hAnsi="仿宋" w:eastAsia="仿宋" w:cs="仿宋"/>
                <w:kern w:val="0"/>
                <w:sz w:val="24"/>
                <w:szCs w:val="24"/>
                <w:lang w:val="en-US" w:eastAsia="zh-CN" w:bidi="ar-SA"/>
              </w:rPr>
            </w:pPr>
            <w:r>
              <w:rPr>
                <w:rFonts w:hint="eastAsia" w:ascii="仿宋" w:hAnsi="仿宋" w:eastAsia="仿宋" w:cs="仿宋"/>
                <w:kern w:val="0"/>
                <w:sz w:val="24"/>
              </w:rPr>
              <w:t>2</w:t>
            </w:r>
          </w:p>
        </w:tc>
        <w:tc>
          <w:tcPr>
            <w:tcW w:w="2986" w:type="dxa"/>
            <w:tcBorders>
              <w:top w:val="single" w:color="auto" w:sz="4" w:space="0"/>
              <w:left w:val="single" w:color="auto" w:sz="4" w:space="0"/>
              <w:bottom w:val="single" w:color="auto" w:sz="4" w:space="0"/>
              <w:right w:val="single" w:color="auto" w:sz="4" w:space="0"/>
            </w:tcBorders>
            <w:vAlign w:val="center"/>
          </w:tcPr>
          <w:p w14:paraId="7B396CB9">
            <w:pPr>
              <w:widowControl/>
              <w:jc w:val="center"/>
              <w:rPr>
                <w:rFonts w:hint="eastAsia" w:ascii="仿宋" w:hAnsi="仿宋" w:eastAsia="仿宋" w:cs="仿宋"/>
                <w:kern w:val="0"/>
                <w:szCs w:val="21"/>
              </w:rPr>
            </w:pPr>
            <w:r>
              <w:rPr>
                <w:rFonts w:hint="eastAsia" w:ascii="仿宋" w:hAnsi="仿宋" w:eastAsia="仿宋" w:cs="仿宋"/>
                <w:szCs w:val="21"/>
                <w:lang w:eastAsia="zh-CN"/>
              </w:rPr>
              <w:t>煤</w:t>
            </w:r>
            <w:r>
              <w:rPr>
                <w:rFonts w:hint="eastAsia" w:ascii="仿宋" w:hAnsi="仿宋" w:eastAsia="仿宋" w:cs="仿宋"/>
                <w:szCs w:val="21"/>
              </w:rPr>
              <w:t>矿用隔爆型低压电缆接线盒</w:t>
            </w:r>
          </w:p>
        </w:tc>
        <w:tc>
          <w:tcPr>
            <w:tcW w:w="2564" w:type="dxa"/>
            <w:tcBorders>
              <w:top w:val="single" w:color="auto" w:sz="4" w:space="0"/>
              <w:left w:val="single" w:color="auto" w:sz="4" w:space="0"/>
              <w:bottom w:val="single" w:color="auto" w:sz="4" w:space="0"/>
              <w:right w:val="single" w:color="auto" w:sz="4" w:space="0"/>
            </w:tcBorders>
            <w:vAlign w:val="center"/>
          </w:tcPr>
          <w:p w14:paraId="070D9A68">
            <w:pPr>
              <w:widowControl/>
              <w:jc w:val="center"/>
              <w:rPr>
                <w:rFonts w:hint="eastAsia" w:ascii="仿宋" w:hAnsi="仿宋" w:eastAsia="仿宋" w:cs="仿宋"/>
                <w:kern w:val="0"/>
                <w:szCs w:val="21"/>
                <w:lang w:val="en-US" w:eastAsia="zh-CN"/>
              </w:rPr>
            </w:pPr>
            <w:r>
              <w:rPr>
                <w:rFonts w:hint="eastAsia" w:ascii="仿宋" w:hAnsi="仿宋" w:eastAsia="仿宋" w:cs="仿宋"/>
                <w:szCs w:val="21"/>
              </w:rPr>
              <w:t>BHD2-</w:t>
            </w:r>
            <w:r>
              <w:rPr>
                <w:rFonts w:hint="eastAsia" w:ascii="仿宋" w:hAnsi="仿宋" w:eastAsia="仿宋" w:cs="仿宋"/>
                <w:szCs w:val="21"/>
                <w:lang w:val="en-US" w:eastAsia="zh-CN"/>
              </w:rPr>
              <w:t>4</w:t>
            </w:r>
            <w:r>
              <w:rPr>
                <w:rFonts w:hint="eastAsia" w:ascii="仿宋" w:hAnsi="仿宋" w:eastAsia="仿宋" w:cs="仿宋"/>
                <w:szCs w:val="21"/>
              </w:rPr>
              <w:t>0/</w:t>
            </w:r>
            <w:r>
              <w:rPr>
                <w:rFonts w:hint="eastAsia" w:ascii="仿宋" w:hAnsi="仿宋" w:eastAsia="仿宋" w:cs="仿宋"/>
                <w:color w:val="auto"/>
                <w:szCs w:val="21"/>
              </w:rPr>
              <w:t>660</w:t>
            </w:r>
            <w:r>
              <w:rPr>
                <w:rFonts w:hint="eastAsia" w:ascii="仿宋" w:hAnsi="仿宋" w:eastAsia="仿宋" w:cs="仿宋"/>
                <w:color w:val="auto"/>
                <w:szCs w:val="21"/>
                <w:lang w:eastAsia="zh-CN"/>
              </w:rPr>
              <w:t>（</w:t>
            </w:r>
            <w:r>
              <w:rPr>
                <w:rFonts w:hint="eastAsia" w:ascii="仿宋" w:hAnsi="仿宋" w:eastAsia="仿宋" w:cs="仿宋"/>
                <w:color w:val="auto"/>
                <w:szCs w:val="21"/>
                <w:lang w:val="en-US" w:eastAsia="zh-CN"/>
              </w:rPr>
              <w:t>380</w:t>
            </w:r>
            <w:r>
              <w:rPr>
                <w:rFonts w:hint="eastAsia" w:ascii="仿宋" w:hAnsi="仿宋" w:eastAsia="仿宋" w:cs="仿宋"/>
                <w:color w:val="auto"/>
                <w:szCs w:val="21"/>
                <w:lang w:eastAsia="zh-CN"/>
              </w:rPr>
              <w:t>）</w:t>
            </w:r>
            <w:r>
              <w:rPr>
                <w:rFonts w:hint="eastAsia" w:ascii="仿宋" w:hAnsi="仿宋" w:eastAsia="仿宋" w:cs="仿宋"/>
                <w:szCs w:val="21"/>
              </w:rPr>
              <w:t>-</w:t>
            </w:r>
            <w:r>
              <w:rPr>
                <w:rFonts w:hint="eastAsia" w:ascii="仿宋" w:hAnsi="仿宋" w:eastAsia="仿宋" w:cs="仿宋"/>
                <w:szCs w:val="21"/>
                <w:lang w:val="en-US" w:eastAsia="zh-CN"/>
              </w:rPr>
              <w:t>4G</w:t>
            </w:r>
          </w:p>
        </w:tc>
        <w:tc>
          <w:tcPr>
            <w:tcW w:w="1104" w:type="dxa"/>
            <w:tcBorders>
              <w:top w:val="single" w:color="auto" w:sz="4" w:space="0"/>
              <w:left w:val="single" w:color="auto" w:sz="4" w:space="0"/>
              <w:bottom w:val="single" w:color="auto" w:sz="4" w:space="0"/>
              <w:right w:val="single" w:color="auto" w:sz="4" w:space="0"/>
            </w:tcBorders>
            <w:vAlign w:val="center"/>
          </w:tcPr>
          <w:p w14:paraId="3C95917F">
            <w:pPr>
              <w:widowControl/>
              <w:jc w:val="center"/>
              <w:rPr>
                <w:rFonts w:hint="eastAsia" w:ascii="仿宋" w:hAnsi="仿宋" w:eastAsia="仿宋" w:cs="仿宋"/>
                <w:szCs w:val="21"/>
                <w:lang w:eastAsia="zh-CN"/>
              </w:rPr>
            </w:pPr>
            <w:r>
              <w:rPr>
                <w:rFonts w:hint="eastAsia" w:ascii="仿宋" w:hAnsi="仿宋" w:eastAsia="仿宋" w:cs="仿宋"/>
                <w:szCs w:val="21"/>
                <w:lang w:eastAsia="zh-CN"/>
              </w:rPr>
              <w:t>个</w:t>
            </w:r>
          </w:p>
        </w:tc>
        <w:tc>
          <w:tcPr>
            <w:tcW w:w="1146" w:type="dxa"/>
            <w:tcBorders>
              <w:top w:val="single" w:color="auto" w:sz="4" w:space="0"/>
              <w:left w:val="single" w:color="auto" w:sz="4" w:space="0"/>
              <w:bottom w:val="single" w:color="auto" w:sz="4" w:space="0"/>
              <w:right w:val="single" w:color="auto" w:sz="4" w:space="0"/>
            </w:tcBorders>
            <w:vAlign w:val="center"/>
          </w:tcPr>
          <w:p w14:paraId="01D0478A">
            <w:pPr>
              <w:widowControl/>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w:t>
            </w:r>
          </w:p>
        </w:tc>
        <w:tc>
          <w:tcPr>
            <w:tcW w:w="1118" w:type="dxa"/>
            <w:vMerge w:val="continue"/>
            <w:tcBorders>
              <w:left w:val="single" w:color="auto" w:sz="4" w:space="0"/>
              <w:right w:val="single" w:color="auto" w:sz="4" w:space="0"/>
            </w:tcBorders>
            <w:vAlign w:val="center"/>
          </w:tcPr>
          <w:p w14:paraId="77CA4048">
            <w:pPr>
              <w:widowControl/>
              <w:jc w:val="center"/>
              <w:rPr>
                <w:rFonts w:hint="eastAsia" w:ascii="仿宋" w:hAnsi="仿宋" w:eastAsia="仿宋" w:cs="仿宋"/>
                <w:kern w:val="0"/>
                <w:sz w:val="24"/>
              </w:rPr>
            </w:pPr>
          </w:p>
        </w:tc>
      </w:tr>
      <w:tr w14:paraId="15AE423B">
        <w:tblPrEx>
          <w:tblCellMar>
            <w:top w:w="0" w:type="dxa"/>
            <w:left w:w="108" w:type="dxa"/>
            <w:bottom w:w="0" w:type="dxa"/>
            <w:right w:w="108" w:type="dxa"/>
          </w:tblCellMar>
        </w:tblPrEx>
        <w:trPr>
          <w:trHeight w:val="600" w:hRule="exact"/>
          <w:jc w:val="center"/>
        </w:trPr>
        <w:tc>
          <w:tcPr>
            <w:tcW w:w="641" w:type="dxa"/>
            <w:tcBorders>
              <w:top w:val="single" w:color="auto" w:sz="4" w:space="0"/>
              <w:left w:val="single" w:color="auto" w:sz="4" w:space="0"/>
              <w:bottom w:val="single" w:color="auto" w:sz="4" w:space="0"/>
              <w:right w:val="single" w:color="auto" w:sz="4" w:space="0"/>
            </w:tcBorders>
            <w:vAlign w:val="center"/>
          </w:tcPr>
          <w:p w14:paraId="4143186B">
            <w:pPr>
              <w:widowControl/>
              <w:jc w:val="center"/>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3</w:t>
            </w:r>
          </w:p>
        </w:tc>
        <w:tc>
          <w:tcPr>
            <w:tcW w:w="2986" w:type="dxa"/>
            <w:tcBorders>
              <w:top w:val="single" w:color="auto" w:sz="4" w:space="0"/>
              <w:left w:val="single" w:color="auto" w:sz="4" w:space="0"/>
              <w:bottom w:val="single" w:color="auto" w:sz="4" w:space="0"/>
              <w:right w:val="single" w:color="auto" w:sz="4" w:space="0"/>
            </w:tcBorders>
            <w:vAlign w:val="center"/>
          </w:tcPr>
          <w:p w14:paraId="47817517">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eastAsia="zh-CN"/>
              </w:rPr>
              <w:t>煤</w:t>
            </w:r>
            <w:r>
              <w:rPr>
                <w:rFonts w:hint="eastAsia" w:ascii="仿宋" w:hAnsi="仿宋" w:eastAsia="仿宋" w:cs="仿宋"/>
                <w:szCs w:val="21"/>
              </w:rPr>
              <w:t>矿用隔爆型低压电缆接线盒</w:t>
            </w:r>
          </w:p>
        </w:tc>
        <w:tc>
          <w:tcPr>
            <w:tcW w:w="2564" w:type="dxa"/>
            <w:tcBorders>
              <w:top w:val="single" w:color="auto" w:sz="4" w:space="0"/>
              <w:left w:val="single" w:color="auto" w:sz="4" w:space="0"/>
              <w:bottom w:val="single" w:color="auto" w:sz="4" w:space="0"/>
              <w:right w:val="single" w:color="auto" w:sz="4" w:space="0"/>
            </w:tcBorders>
            <w:vAlign w:val="center"/>
          </w:tcPr>
          <w:p w14:paraId="4F018903">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BHD2-</w:t>
            </w:r>
            <w:r>
              <w:rPr>
                <w:rFonts w:hint="eastAsia" w:ascii="仿宋" w:hAnsi="仿宋" w:eastAsia="仿宋" w:cs="仿宋"/>
                <w:szCs w:val="21"/>
                <w:lang w:val="en-US" w:eastAsia="zh-CN"/>
              </w:rPr>
              <w:t>1</w:t>
            </w:r>
            <w:r>
              <w:rPr>
                <w:rFonts w:hint="eastAsia" w:ascii="仿宋" w:hAnsi="仿宋" w:eastAsia="仿宋" w:cs="仿宋"/>
                <w:szCs w:val="21"/>
              </w:rPr>
              <w:t>00/1140</w:t>
            </w:r>
            <w:r>
              <w:rPr>
                <w:rFonts w:hint="eastAsia" w:ascii="仿宋" w:hAnsi="仿宋" w:eastAsia="仿宋" w:cs="仿宋"/>
                <w:szCs w:val="21"/>
                <w:lang w:eastAsia="zh-CN"/>
              </w:rPr>
              <w:t>（</w:t>
            </w:r>
            <w:r>
              <w:rPr>
                <w:rFonts w:hint="eastAsia" w:ascii="仿宋" w:hAnsi="仿宋" w:eastAsia="仿宋" w:cs="仿宋"/>
                <w:szCs w:val="21"/>
                <w:lang w:val="en-US" w:eastAsia="zh-CN"/>
              </w:rPr>
              <w:t>660</w:t>
            </w:r>
            <w:r>
              <w:rPr>
                <w:rFonts w:hint="eastAsia" w:ascii="仿宋" w:hAnsi="仿宋" w:eastAsia="仿宋" w:cs="仿宋"/>
                <w:szCs w:val="21"/>
                <w:lang w:eastAsia="zh-CN"/>
              </w:rPr>
              <w:t>）</w:t>
            </w:r>
            <w:r>
              <w:rPr>
                <w:rFonts w:hint="eastAsia" w:ascii="仿宋" w:hAnsi="仿宋" w:eastAsia="仿宋" w:cs="仿宋"/>
                <w:szCs w:val="21"/>
              </w:rPr>
              <w:t>-4G</w:t>
            </w:r>
          </w:p>
        </w:tc>
        <w:tc>
          <w:tcPr>
            <w:tcW w:w="1104" w:type="dxa"/>
            <w:tcBorders>
              <w:top w:val="single" w:color="auto" w:sz="4" w:space="0"/>
              <w:left w:val="single" w:color="auto" w:sz="4" w:space="0"/>
              <w:bottom w:val="single" w:color="auto" w:sz="4" w:space="0"/>
              <w:right w:val="single" w:color="auto" w:sz="4" w:space="0"/>
            </w:tcBorders>
            <w:vAlign w:val="center"/>
          </w:tcPr>
          <w:p w14:paraId="629619DC">
            <w:pPr>
              <w:widowControl/>
              <w:jc w:val="center"/>
              <w:rPr>
                <w:rFonts w:hint="eastAsia" w:ascii="仿宋" w:hAnsi="仿宋" w:eastAsia="仿宋" w:cs="仿宋"/>
                <w:szCs w:val="21"/>
              </w:rPr>
            </w:pPr>
            <w:r>
              <w:rPr>
                <w:rFonts w:hint="eastAsia" w:ascii="仿宋" w:hAnsi="仿宋" w:eastAsia="仿宋" w:cs="仿宋"/>
                <w:szCs w:val="21"/>
                <w:lang w:eastAsia="zh-CN"/>
              </w:rPr>
              <w:t>个</w:t>
            </w:r>
          </w:p>
        </w:tc>
        <w:tc>
          <w:tcPr>
            <w:tcW w:w="1146" w:type="dxa"/>
            <w:tcBorders>
              <w:top w:val="single" w:color="auto" w:sz="4" w:space="0"/>
              <w:left w:val="single" w:color="auto" w:sz="4" w:space="0"/>
              <w:bottom w:val="single" w:color="auto" w:sz="4" w:space="0"/>
              <w:right w:val="single" w:color="auto" w:sz="4" w:space="0"/>
            </w:tcBorders>
            <w:vAlign w:val="center"/>
          </w:tcPr>
          <w:p w14:paraId="37574561">
            <w:pPr>
              <w:widowControl/>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w:t>
            </w:r>
          </w:p>
        </w:tc>
        <w:tc>
          <w:tcPr>
            <w:tcW w:w="1118" w:type="dxa"/>
            <w:vMerge w:val="continue"/>
            <w:tcBorders>
              <w:left w:val="single" w:color="auto" w:sz="4" w:space="0"/>
              <w:right w:val="single" w:color="auto" w:sz="4" w:space="0"/>
            </w:tcBorders>
            <w:vAlign w:val="center"/>
          </w:tcPr>
          <w:p w14:paraId="72084434">
            <w:pPr>
              <w:widowControl/>
              <w:jc w:val="center"/>
              <w:rPr>
                <w:rFonts w:hint="eastAsia" w:ascii="仿宋" w:hAnsi="仿宋" w:eastAsia="仿宋" w:cs="仿宋"/>
                <w:kern w:val="0"/>
                <w:sz w:val="24"/>
              </w:rPr>
            </w:pPr>
          </w:p>
        </w:tc>
      </w:tr>
      <w:tr w14:paraId="415BF6D3">
        <w:tblPrEx>
          <w:tblCellMar>
            <w:top w:w="0" w:type="dxa"/>
            <w:left w:w="108" w:type="dxa"/>
            <w:bottom w:w="0" w:type="dxa"/>
            <w:right w:w="108" w:type="dxa"/>
          </w:tblCellMar>
        </w:tblPrEx>
        <w:trPr>
          <w:trHeight w:val="600" w:hRule="exact"/>
          <w:jc w:val="center"/>
        </w:trPr>
        <w:tc>
          <w:tcPr>
            <w:tcW w:w="641" w:type="dxa"/>
            <w:tcBorders>
              <w:top w:val="single" w:color="auto" w:sz="4" w:space="0"/>
              <w:left w:val="single" w:color="auto" w:sz="4" w:space="0"/>
              <w:bottom w:val="single" w:color="auto" w:sz="4" w:space="0"/>
              <w:right w:val="single" w:color="auto" w:sz="4" w:space="0"/>
            </w:tcBorders>
            <w:vAlign w:val="center"/>
          </w:tcPr>
          <w:p w14:paraId="485A126D">
            <w:pPr>
              <w:widowControl/>
              <w:jc w:val="center"/>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4</w:t>
            </w:r>
          </w:p>
        </w:tc>
        <w:tc>
          <w:tcPr>
            <w:tcW w:w="2986" w:type="dxa"/>
            <w:tcBorders>
              <w:top w:val="single" w:color="auto" w:sz="4" w:space="0"/>
              <w:left w:val="nil"/>
              <w:bottom w:val="single" w:color="auto" w:sz="4" w:space="0"/>
              <w:right w:val="single" w:color="auto" w:sz="4" w:space="0"/>
            </w:tcBorders>
            <w:vAlign w:val="center"/>
          </w:tcPr>
          <w:p w14:paraId="41D4F4F5">
            <w:pPr>
              <w:widowControl/>
              <w:jc w:val="center"/>
              <w:rPr>
                <w:rFonts w:hint="eastAsia" w:ascii="仿宋" w:hAnsi="仿宋" w:eastAsia="仿宋" w:cs="仿宋"/>
                <w:szCs w:val="21"/>
                <w:lang w:eastAsia="zh-CN"/>
              </w:rPr>
            </w:pPr>
            <w:r>
              <w:rPr>
                <w:rFonts w:hint="eastAsia" w:ascii="仿宋" w:hAnsi="仿宋" w:eastAsia="仿宋" w:cs="仿宋"/>
                <w:szCs w:val="21"/>
                <w:lang w:eastAsia="zh-CN"/>
              </w:rPr>
              <w:t>煤</w:t>
            </w:r>
            <w:r>
              <w:rPr>
                <w:rFonts w:hint="eastAsia" w:ascii="仿宋" w:hAnsi="仿宋" w:eastAsia="仿宋" w:cs="仿宋"/>
                <w:szCs w:val="21"/>
              </w:rPr>
              <w:t>矿用隔爆型低压电缆接线盒</w:t>
            </w:r>
          </w:p>
        </w:tc>
        <w:tc>
          <w:tcPr>
            <w:tcW w:w="2564" w:type="dxa"/>
            <w:tcBorders>
              <w:top w:val="single" w:color="auto" w:sz="4" w:space="0"/>
              <w:left w:val="nil"/>
              <w:bottom w:val="single" w:color="auto" w:sz="4" w:space="0"/>
              <w:right w:val="single" w:color="auto" w:sz="4" w:space="0"/>
            </w:tcBorders>
            <w:vAlign w:val="center"/>
          </w:tcPr>
          <w:p w14:paraId="6796A469">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BHD2-</w:t>
            </w:r>
            <w:r>
              <w:rPr>
                <w:rFonts w:hint="eastAsia" w:ascii="仿宋" w:hAnsi="仿宋" w:eastAsia="仿宋" w:cs="仿宋"/>
                <w:szCs w:val="21"/>
                <w:lang w:val="en-US" w:eastAsia="zh-CN"/>
              </w:rPr>
              <w:t>2</w:t>
            </w:r>
            <w:r>
              <w:rPr>
                <w:rFonts w:hint="eastAsia" w:ascii="仿宋" w:hAnsi="仿宋" w:eastAsia="仿宋" w:cs="仿宋"/>
                <w:szCs w:val="21"/>
              </w:rPr>
              <w:t>00/1140</w:t>
            </w:r>
            <w:r>
              <w:rPr>
                <w:rFonts w:hint="eastAsia" w:ascii="仿宋" w:hAnsi="仿宋" w:eastAsia="仿宋" w:cs="仿宋"/>
                <w:szCs w:val="21"/>
                <w:lang w:eastAsia="zh-CN"/>
              </w:rPr>
              <w:t>（</w:t>
            </w:r>
            <w:r>
              <w:rPr>
                <w:rFonts w:hint="eastAsia" w:ascii="仿宋" w:hAnsi="仿宋" w:eastAsia="仿宋" w:cs="仿宋"/>
                <w:szCs w:val="21"/>
                <w:lang w:val="en-US" w:eastAsia="zh-CN"/>
              </w:rPr>
              <w:t>660</w:t>
            </w:r>
            <w:r>
              <w:rPr>
                <w:rFonts w:hint="eastAsia" w:ascii="仿宋" w:hAnsi="仿宋" w:eastAsia="仿宋" w:cs="仿宋"/>
                <w:szCs w:val="21"/>
                <w:lang w:eastAsia="zh-CN"/>
              </w:rPr>
              <w:t>）</w:t>
            </w:r>
            <w:r>
              <w:rPr>
                <w:rFonts w:hint="eastAsia" w:ascii="仿宋" w:hAnsi="仿宋" w:eastAsia="仿宋" w:cs="仿宋"/>
                <w:szCs w:val="21"/>
              </w:rPr>
              <w:t>-4G</w:t>
            </w:r>
          </w:p>
        </w:tc>
        <w:tc>
          <w:tcPr>
            <w:tcW w:w="1104" w:type="dxa"/>
            <w:tcBorders>
              <w:top w:val="single" w:color="auto" w:sz="4" w:space="0"/>
              <w:bottom w:val="single" w:color="auto" w:sz="4" w:space="0"/>
              <w:right w:val="single" w:color="auto" w:sz="4" w:space="0"/>
            </w:tcBorders>
            <w:vAlign w:val="center"/>
          </w:tcPr>
          <w:p w14:paraId="47FD9838">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eastAsia="zh-CN"/>
              </w:rPr>
              <w:t>个</w:t>
            </w:r>
          </w:p>
        </w:tc>
        <w:tc>
          <w:tcPr>
            <w:tcW w:w="1146" w:type="dxa"/>
            <w:tcBorders>
              <w:top w:val="single" w:color="auto" w:sz="4" w:space="0"/>
              <w:left w:val="single" w:color="auto" w:sz="4" w:space="0"/>
              <w:bottom w:val="single" w:color="auto" w:sz="4" w:space="0"/>
              <w:right w:val="single" w:color="auto" w:sz="4" w:space="0"/>
            </w:tcBorders>
            <w:vAlign w:val="center"/>
          </w:tcPr>
          <w:p w14:paraId="52D2A50F">
            <w:pPr>
              <w:widowControl/>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Cs w:val="21"/>
                <w:lang w:val="en-US" w:eastAsia="zh-CN"/>
              </w:rPr>
              <w:t>/</w:t>
            </w:r>
          </w:p>
        </w:tc>
        <w:tc>
          <w:tcPr>
            <w:tcW w:w="1118" w:type="dxa"/>
            <w:vMerge w:val="continue"/>
            <w:tcBorders>
              <w:left w:val="single" w:color="auto" w:sz="4" w:space="0"/>
              <w:right w:val="single" w:color="auto" w:sz="4" w:space="0"/>
            </w:tcBorders>
            <w:vAlign w:val="center"/>
          </w:tcPr>
          <w:p w14:paraId="560F43A0">
            <w:pPr>
              <w:widowControl/>
              <w:jc w:val="center"/>
              <w:rPr>
                <w:rFonts w:hint="eastAsia" w:ascii="仿宋" w:hAnsi="仿宋" w:eastAsia="仿宋" w:cs="仿宋"/>
                <w:kern w:val="0"/>
                <w:sz w:val="24"/>
              </w:rPr>
            </w:pPr>
          </w:p>
        </w:tc>
      </w:tr>
      <w:tr w14:paraId="2A598FFF">
        <w:tblPrEx>
          <w:tblCellMar>
            <w:top w:w="0" w:type="dxa"/>
            <w:left w:w="108" w:type="dxa"/>
            <w:bottom w:w="0" w:type="dxa"/>
            <w:right w:w="108" w:type="dxa"/>
          </w:tblCellMar>
        </w:tblPrEx>
        <w:trPr>
          <w:trHeight w:val="600" w:hRule="exact"/>
          <w:jc w:val="center"/>
        </w:trPr>
        <w:tc>
          <w:tcPr>
            <w:tcW w:w="641" w:type="dxa"/>
            <w:tcBorders>
              <w:top w:val="single" w:color="auto" w:sz="4" w:space="0"/>
              <w:left w:val="single" w:color="auto" w:sz="4" w:space="0"/>
              <w:bottom w:val="single" w:color="auto" w:sz="4" w:space="0"/>
              <w:right w:val="single" w:color="auto" w:sz="4" w:space="0"/>
            </w:tcBorders>
            <w:vAlign w:val="center"/>
          </w:tcPr>
          <w:p w14:paraId="6927120E">
            <w:pPr>
              <w:widowControl/>
              <w:jc w:val="center"/>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5</w:t>
            </w:r>
          </w:p>
        </w:tc>
        <w:tc>
          <w:tcPr>
            <w:tcW w:w="2986" w:type="dxa"/>
            <w:tcBorders>
              <w:top w:val="single" w:color="auto" w:sz="4" w:space="0"/>
              <w:left w:val="nil"/>
              <w:bottom w:val="single" w:color="auto" w:sz="4" w:space="0"/>
              <w:right w:val="single" w:color="auto" w:sz="4" w:space="0"/>
            </w:tcBorders>
            <w:vAlign w:val="center"/>
          </w:tcPr>
          <w:p w14:paraId="63BB1186">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eastAsia="zh-CN"/>
              </w:rPr>
              <w:t>煤</w:t>
            </w:r>
            <w:r>
              <w:rPr>
                <w:rFonts w:hint="eastAsia" w:ascii="仿宋" w:hAnsi="仿宋" w:eastAsia="仿宋" w:cs="仿宋"/>
                <w:szCs w:val="21"/>
              </w:rPr>
              <w:t>矿用隔爆型低压电缆接线盒</w:t>
            </w:r>
          </w:p>
        </w:tc>
        <w:tc>
          <w:tcPr>
            <w:tcW w:w="2564" w:type="dxa"/>
            <w:tcBorders>
              <w:top w:val="single" w:color="auto" w:sz="4" w:space="0"/>
              <w:left w:val="nil"/>
              <w:bottom w:val="single" w:color="auto" w:sz="4" w:space="0"/>
              <w:right w:val="single" w:color="auto" w:sz="4" w:space="0"/>
            </w:tcBorders>
            <w:vAlign w:val="center"/>
          </w:tcPr>
          <w:p w14:paraId="53E3B1F9">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BHD2-</w:t>
            </w:r>
            <w:r>
              <w:rPr>
                <w:rFonts w:hint="eastAsia" w:ascii="仿宋" w:hAnsi="仿宋" w:eastAsia="仿宋" w:cs="仿宋"/>
                <w:szCs w:val="21"/>
                <w:lang w:val="en-US" w:eastAsia="zh-CN"/>
              </w:rPr>
              <w:t>4</w:t>
            </w:r>
            <w:r>
              <w:rPr>
                <w:rFonts w:hint="eastAsia" w:ascii="仿宋" w:hAnsi="仿宋" w:eastAsia="仿宋" w:cs="仿宋"/>
                <w:szCs w:val="21"/>
              </w:rPr>
              <w:t>00/1140</w:t>
            </w:r>
            <w:r>
              <w:rPr>
                <w:rFonts w:hint="eastAsia" w:ascii="仿宋" w:hAnsi="仿宋" w:eastAsia="仿宋" w:cs="仿宋"/>
                <w:szCs w:val="21"/>
                <w:lang w:eastAsia="zh-CN"/>
              </w:rPr>
              <w:t>（</w:t>
            </w:r>
            <w:r>
              <w:rPr>
                <w:rFonts w:hint="eastAsia" w:ascii="仿宋" w:hAnsi="仿宋" w:eastAsia="仿宋" w:cs="仿宋"/>
                <w:szCs w:val="21"/>
                <w:lang w:val="en-US" w:eastAsia="zh-CN"/>
              </w:rPr>
              <w:t>660</w:t>
            </w:r>
            <w:r>
              <w:rPr>
                <w:rFonts w:hint="eastAsia" w:ascii="仿宋" w:hAnsi="仿宋" w:eastAsia="仿宋" w:cs="仿宋"/>
                <w:szCs w:val="21"/>
                <w:lang w:eastAsia="zh-CN"/>
              </w:rPr>
              <w:t>）</w:t>
            </w:r>
            <w:r>
              <w:rPr>
                <w:rFonts w:hint="eastAsia" w:ascii="仿宋" w:hAnsi="仿宋" w:eastAsia="仿宋" w:cs="仿宋"/>
                <w:szCs w:val="21"/>
              </w:rPr>
              <w:t>-4G</w:t>
            </w:r>
          </w:p>
        </w:tc>
        <w:tc>
          <w:tcPr>
            <w:tcW w:w="1104" w:type="dxa"/>
            <w:tcBorders>
              <w:top w:val="single" w:color="auto" w:sz="4" w:space="0"/>
              <w:bottom w:val="single" w:color="auto" w:sz="4" w:space="0"/>
              <w:right w:val="single" w:color="auto" w:sz="4" w:space="0"/>
            </w:tcBorders>
            <w:vAlign w:val="center"/>
          </w:tcPr>
          <w:p w14:paraId="2B32535E">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eastAsia="zh-CN"/>
              </w:rPr>
              <w:t>个</w:t>
            </w:r>
          </w:p>
        </w:tc>
        <w:tc>
          <w:tcPr>
            <w:tcW w:w="1146" w:type="dxa"/>
            <w:tcBorders>
              <w:top w:val="single" w:color="auto" w:sz="4" w:space="0"/>
              <w:left w:val="single" w:color="auto" w:sz="4" w:space="0"/>
              <w:bottom w:val="single" w:color="auto" w:sz="4" w:space="0"/>
              <w:right w:val="single" w:color="auto" w:sz="4" w:space="0"/>
            </w:tcBorders>
            <w:vAlign w:val="center"/>
          </w:tcPr>
          <w:p w14:paraId="5B566A1D">
            <w:pPr>
              <w:widowControl/>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Cs w:val="21"/>
                <w:lang w:val="en-US" w:eastAsia="zh-CN"/>
              </w:rPr>
              <w:t>/</w:t>
            </w:r>
          </w:p>
        </w:tc>
        <w:tc>
          <w:tcPr>
            <w:tcW w:w="1118" w:type="dxa"/>
            <w:vMerge w:val="continue"/>
            <w:tcBorders>
              <w:left w:val="single" w:color="auto" w:sz="4" w:space="0"/>
              <w:right w:val="single" w:color="auto" w:sz="4" w:space="0"/>
            </w:tcBorders>
            <w:vAlign w:val="center"/>
          </w:tcPr>
          <w:p w14:paraId="171BEE84">
            <w:pPr>
              <w:widowControl/>
              <w:jc w:val="center"/>
              <w:rPr>
                <w:rFonts w:hint="eastAsia" w:ascii="仿宋" w:hAnsi="仿宋" w:eastAsia="仿宋" w:cs="仿宋"/>
                <w:kern w:val="0"/>
                <w:sz w:val="24"/>
              </w:rPr>
            </w:pPr>
          </w:p>
        </w:tc>
      </w:tr>
      <w:tr w14:paraId="190C95B1">
        <w:tblPrEx>
          <w:tblCellMar>
            <w:top w:w="0" w:type="dxa"/>
            <w:left w:w="108" w:type="dxa"/>
            <w:bottom w:w="0" w:type="dxa"/>
            <w:right w:w="108" w:type="dxa"/>
          </w:tblCellMar>
        </w:tblPrEx>
        <w:trPr>
          <w:trHeight w:val="600" w:hRule="exact"/>
          <w:jc w:val="center"/>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14:paraId="685A95AE">
            <w:pPr>
              <w:widowControl/>
              <w:jc w:val="center"/>
              <w:rPr>
                <w:rFonts w:hint="eastAsia" w:ascii="仿宋" w:hAnsi="仿宋" w:eastAsia="仿宋" w:cs="仿宋"/>
                <w:kern w:val="0"/>
                <w:sz w:val="24"/>
                <w:szCs w:val="24"/>
                <w:lang w:val="en-US" w:eastAsia="zh-CN" w:bidi="ar-SA"/>
              </w:rPr>
            </w:pPr>
            <w:r>
              <w:rPr>
                <w:rFonts w:hint="eastAsia" w:ascii="仿宋" w:hAnsi="仿宋" w:eastAsia="仿宋" w:cs="仿宋"/>
                <w:kern w:val="0"/>
                <w:sz w:val="24"/>
                <w:lang w:val="en-US" w:eastAsia="zh-CN"/>
              </w:rPr>
              <w:t>6</w:t>
            </w:r>
          </w:p>
        </w:tc>
        <w:tc>
          <w:tcPr>
            <w:tcW w:w="2986" w:type="dxa"/>
            <w:tcBorders>
              <w:top w:val="single" w:color="auto" w:sz="4" w:space="0"/>
              <w:left w:val="nil"/>
              <w:bottom w:val="single" w:color="auto" w:sz="4" w:space="0"/>
              <w:right w:val="single" w:color="auto" w:sz="4" w:space="0"/>
            </w:tcBorders>
            <w:shd w:val="clear" w:color="auto" w:fill="auto"/>
            <w:vAlign w:val="center"/>
          </w:tcPr>
          <w:p w14:paraId="0A6E3340">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eastAsia="zh-CN"/>
              </w:rPr>
              <w:t>煤</w:t>
            </w:r>
            <w:r>
              <w:rPr>
                <w:rFonts w:hint="eastAsia" w:ascii="仿宋" w:hAnsi="仿宋" w:eastAsia="仿宋" w:cs="仿宋"/>
                <w:szCs w:val="21"/>
              </w:rPr>
              <w:t>矿用隔爆型</w:t>
            </w:r>
            <w:r>
              <w:rPr>
                <w:rFonts w:hint="eastAsia" w:ascii="仿宋" w:hAnsi="仿宋" w:eastAsia="仿宋" w:cs="仿宋"/>
                <w:szCs w:val="21"/>
                <w:lang w:val="en-US" w:eastAsia="zh-CN"/>
              </w:rPr>
              <w:t>高压</w:t>
            </w:r>
            <w:r>
              <w:rPr>
                <w:rFonts w:hint="eastAsia" w:ascii="仿宋" w:hAnsi="仿宋" w:eastAsia="仿宋" w:cs="仿宋"/>
                <w:szCs w:val="21"/>
              </w:rPr>
              <w:t>电缆接线盒</w:t>
            </w:r>
          </w:p>
        </w:tc>
        <w:tc>
          <w:tcPr>
            <w:tcW w:w="2564" w:type="dxa"/>
            <w:tcBorders>
              <w:top w:val="single" w:color="auto" w:sz="4" w:space="0"/>
              <w:left w:val="nil"/>
              <w:bottom w:val="single" w:color="auto" w:sz="4" w:space="0"/>
              <w:right w:val="single" w:color="auto" w:sz="4" w:space="0"/>
            </w:tcBorders>
            <w:shd w:val="clear" w:color="auto" w:fill="auto"/>
            <w:vAlign w:val="center"/>
          </w:tcPr>
          <w:p w14:paraId="75BCE1F0">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BHD2-</w:t>
            </w:r>
            <w:r>
              <w:rPr>
                <w:rFonts w:hint="eastAsia" w:ascii="仿宋" w:hAnsi="仿宋" w:eastAsia="仿宋" w:cs="仿宋"/>
                <w:szCs w:val="21"/>
                <w:lang w:val="en-US" w:eastAsia="zh-CN"/>
              </w:rPr>
              <w:t>5</w:t>
            </w:r>
            <w:r>
              <w:rPr>
                <w:rFonts w:hint="eastAsia" w:ascii="仿宋" w:hAnsi="仿宋" w:eastAsia="仿宋" w:cs="仿宋"/>
                <w:szCs w:val="21"/>
              </w:rPr>
              <w:t>00/</w:t>
            </w:r>
            <w:r>
              <w:rPr>
                <w:rFonts w:hint="eastAsia" w:ascii="仿宋" w:hAnsi="仿宋" w:eastAsia="仿宋" w:cs="仿宋"/>
                <w:szCs w:val="21"/>
                <w:lang w:val="en-US" w:eastAsia="zh-CN"/>
              </w:rPr>
              <w:t>3.3</w:t>
            </w:r>
            <w:r>
              <w:rPr>
                <w:rFonts w:hint="eastAsia" w:ascii="仿宋" w:hAnsi="仿宋" w:eastAsia="仿宋" w:cs="仿宋"/>
                <w:szCs w:val="21"/>
              </w:rPr>
              <w:t>-</w:t>
            </w:r>
            <w:r>
              <w:rPr>
                <w:rFonts w:hint="eastAsia" w:ascii="仿宋" w:hAnsi="仿宋" w:eastAsia="仿宋" w:cs="仿宋"/>
                <w:szCs w:val="21"/>
                <w:lang w:val="en-US" w:eastAsia="zh-CN"/>
              </w:rPr>
              <w:t>2</w:t>
            </w:r>
            <w:r>
              <w:rPr>
                <w:rFonts w:hint="eastAsia" w:ascii="仿宋" w:hAnsi="仿宋" w:eastAsia="仿宋" w:cs="仿宋"/>
                <w:szCs w:val="21"/>
              </w:rPr>
              <w:t>G</w:t>
            </w:r>
          </w:p>
        </w:tc>
        <w:tc>
          <w:tcPr>
            <w:tcW w:w="1104" w:type="dxa"/>
            <w:tcBorders>
              <w:top w:val="single" w:color="auto" w:sz="4" w:space="0"/>
              <w:bottom w:val="single" w:color="auto" w:sz="4" w:space="0"/>
              <w:right w:val="single" w:color="auto" w:sz="4" w:space="0"/>
            </w:tcBorders>
            <w:shd w:val="clear" w:color="auto" w:fill="auto"/>
            <w:vAlign w:val="center"/>
          </w:tcPr>
          <w:p w14:paraId="33C29457">
            <w:pPr>
              <w:widowControl/>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eastAsia="zh-CN"/>
              </w:rPr>
              <w:t>个</w:t>
            </w:r>
          </w:p>
        </w:tc>
        <w:tc>
          <w:tcPr>
            <w:tcW w:w="1146" w:type="dxa"/>
            <w:tcBorders>
              <w:top w:val="single" w:color="auto" w:sz="4" w:space="0"/>
              <w:left w:val="single" w:color="auto" w:sz="4" w:space="0"/>
              <w:bottom w:val="single" w:color="auto" w:sz="4" w:space="0"/>
              <w:right w:val="single" w:color="auto" w:sz="4" w:space="0"/>
            </w:tcBorders>
            <w:shd w:val="clear" w:color="auto" w:fill="auto"/>
            <w:vAlign w:val="center"/>
          </w:tcPr>
          <w:p w14:paraId="5B625EBE">
            <w:pPr>
              <w:widowControl/>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Cs w:val="21"/>
                <w:lang w:val="en-US" w:eastAsia="zh-CN"/>
              </w:rPr>
              <w:t>/</w:t>
            </w:r>
          </w:p>
        </w:tc>
        <w:tc>
          <w:tcPr>
            <w:tcW w:w="1118" w:type="dxa"/>
            <w:vMerge w:val="continue"/>
            <w:tcBorders>
              <w:left w:val="single" w:color="auto" w:sz="4" w:space="0"/>
              <w:bottom w:val="single" w:color="auto" w:sz="4" w:space="0"/>
              <w:right w:val="single" w:color="auto" w:sz="4" w:space="0"/>
            </w:tcBorders>
            <w:vAlign w:val="center"/>
          </w:tcPr>
          <w:p w14:paraId="6237F9BD">
            <w:pPr>
              <w:widowControl/>
              <w:jc w:val="center"/>
              <w:rPr>
                <w:rFonts w:hint="eastAsia" w:ascii="仿宋" w:hAnsi="仿宋" w:eastAsia="仿宋" w:cs="仿宋"/>
                <w:kern w:val="0"/>
                <w:sz w:val="24"/>
              </w:rPr>
            </w:pPr>
          </w:p>
        </w:tc>
      </w:tr>
      <w:bookmarkEnd w:id="0"/>
    </w:tbl>
    <w:p w14:paraId="148D2EC3">
      <w:pPr>
        <w:adjustRightInd w:val="0"/>
        <w:snapToGrid w:val="0"/>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b/>
          <w:bCs/>
          <w:sz w:val="28"/>
          <w:szCs w:val="28"/>
          <w:lang w:eastAsia="zh-CN"/>
        </w:rPr>
        <w:t>、</w:t>
      </w:r>
      <w:bookmarkStart w:id="1" w:name="主要部件（设备）配置要求"/>
      <w:bookmarkEnd w:id="1"/>
      <w:r>
        <w:rPr>
          <w:rFonts w:hint="eastAsia" w:ascii="仿宋" w:hAnsi="仿宋" w:eastAsia="仿宋" w:cs="仿宋"/>
          <w:b/>
          <w:bCs/>
          <w:sz w:val="28"/>
          <w:szCs w:val="28"/>
        </w:rPr>
        <w:t>主要部件（设备）配置要求</w:t>
      </w:r>
    </w:p>
    <w:p w14:paraId="77898511">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1.接线盒必须为钢板制成，接线盒内、外表面应先涂防锈漆，然后内表面均匀地涂耐弧漆，外表面涂磁漆。</w:t>
      </w:r>
    </w:p>
    <w:p w14:paraId="37172C38">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2.接线盒内不同电位的导电零件之间、导电零件与壳体等接地体之间的电气间隙和爬电距离，在考虑正确接线后应符合GB 51145</w:t>
      </w:r>
      <w:r>
        <w:rPr>
          <w:rFonts w:hint="eastAsia" w:ascii="仿宋" w:hAnsi="仿宋" w:eastAsia="仿宋" w:cs="仿宋"/>
          <w:sz w:val="28"/>
          <w:szCs w:val="28"/>
        </w:rPr>
        <w:t>-</w:t>
      </w:r>
      <w:r>
        <w:rPr>
          <w:rFonts w:hint="eastAsia" w:ascii="仿宋" w:hAnsi="仿宋" w:eastAsia="仿宋" w:cs="仿宋"/>
          <w:sz w:val="28"/>
          <w:szCs w:val="28"/>
          <w:lang w:val="en-US" w:eastAsia="zh-CN"/>
        </w:rPr>
        <w:t>2015中的相关规定。</w:t>
      </w:r>
    </w:p>
    <w:p w14:paraId="739718E1">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3.接线盒内安装在绝缘座上的连接件底部应采用环氧树脂等绝缘材料灌封；绝缘瓷座与金属壳体之间设有防震垫</w:t>
      </w:r>
      <w:r>
        <w:rPr>
          <w:rFonts w:hint="eastAsia" w:ascii="仿宋" w:hAnsi="仿宋" w:eastAsia="仿宋" w:cs="仿宋"/>
          <w:sz w:val="28"/>
          <w:szCs w:val="28"/>
        </w:rPr>
        <w:t>，防止碰撞后</w:t>
      </w:r>
      <w:r>
        <w:rPr>
          <w:rFonts w:hint="eastAsia" w:ascii="仿宋" w:hAnsi="仿宋" w:eastAsia="仿宋" w:cs="仿宋"/>
          <w:sz w:val="28"/>
          <w:szCs w:val="28"/>
          <w:lang w:val="en-US" w:eastAsia="zh-CN"/>
        </w:rPr>
        <w:t>绝缘瓷座</w:t>
      </w:r>
      <w:r>
        <w:rPr>
          <w:rFonts w:hint="eastAsia" w:ascii="仿宋" w:hAnsi="仿宋" w:eastAsia="仿宋" w:cs="仿宋"/>
          <w:sz w:val="28"/>
          <w:szCs w:val="28"/>
        </w:rPr>
        <w:t>破裂</w:t>
      </w:r>
      <w:r>
        <w:rPr>
          <w:rFonts w:hint="eastAsia" w:ascii="仿宋" w:hAnsi="仿宋" w:eastAsia="仿宋" w:cs="仿宋"/>
          <w:sz w:val="28"/>
          <w:szCs w:val="28"/>
          <w:lang w:val="en-US" w:eastAsia="zh-CN"/>
        </w:rPr>
        <w:t>。</w:t>
      </w:r>
    </w:p>
    <w:p w14:paraId="43A74D70">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4.接线盒隔爆接合面的粗糙度应不大于6.3µm，隔爆接合面应采取防锈措施，如电镀、磷化、涂防锈油等，但不准涂油漆。接线盒上所有黑色金属零部件均应采取防腐蚀措施。</w:t>
      </w:r>
    </w:p>
    <w:p w14:paraId="6A973348">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5.馈电开关防爆结合面上的透孔连接螺栓，紧固后统一露出2扣,</w:t>
      </w:r>
      <w:r>
        <w:rPr>
          <w:rFonts w:hint="eastAsia" w:ascii="仿宋" w:hAnsi="仿宋" w:eastAsia="仿宋" w:cs="仿宋"/>
          <w:sz w:val="28"/>
          <w:szCs w:val="28"/>
        </w:rPr>
        <w:t>螺栓旋入有效长度不得小于螺栓直径的1.5倍</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螺栓上均需标有强度等级，螺栓强度等级不低于4.8。</w:t>
      </w:r>
    </w:p>
    <w:p w14:paraId="7919C375">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6.接线盒隔爆外壳的紧固件应采取防松措施，紧固螺栓头部直径应不小于弹簧垫圈外径，弹簧垫圈质量可靠，到矿抽查不得出现失弹。配套实心密封圈、弹垫、挡板、挡圈符合相关规定。</w:t>
      </w:r>
    </w:p>
    <w:p w14:paraId="09A67BC7">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7.额定电流为</w:t>
      </w:r>
      <w:r>
        <w:rPr>
          <w:rFonts w:hint="eastAsia" w:ascii="仿宋" w:hAnsi="仿宋" w:eastAsia="仿宋" w:cs="仿宋"/>
          <w:sz w:val="28"/>
          <w:szCs w:val="28"/>
        </w:rPr>
        <w:t>100A</w:t>
      </w:r>
      <w:r>
        <w:rPr>
          <w:rFonts w:hint="eastAsia" w:ascii="仿宋" w:hAnsi="仿宋" w:eastAsia="仿宋" w:cs="仿宋"/>
          <w:sz w:val="28"/>
          <w:szCs w:val="28"/>
          <w:lang w:val="en-US" w:eastAsia="zh-CN"/>
        </w:rPr>
        <w:t>及</w:t>
      </w:r>
      <w:r>
        <w:rPr>
          <w:rFonts w:hint="eastAsia" w:ascii="仿宋" w:hAnsi="仿宋" w:eastAsia="仿宋" w:cs="仿宋"/>
          <w:sz w:val="28"/>
          <w:szCs w:val="28"/>
        </w:rPr>
        <w:t>以上的接线盒必须采用压盘式喇叭嘴，且压线板螺栓</w:t>
      </w:r>
      <w:r>
        <w:rPr>
          <w:rFonts w:hint="eastAsia" w:ascii="仿宋" w:hAnsi="仿宋" w:eastAsia="仿宋" w:cs="仿宋"/>
          <w:sz w:val="28"/>
          <w:szCs w:val="28"/>
          <w:lang w:val="en-US" w:eastAsia="zh-CN"/>
        </w:rPr>
        <w:t>长度</w:t>
      </w:r>
      <w:r>
        <w:rPr>
          <w:rFonts w:hint="eastAsia" w:ascii="仿宋" w:hAnsi="仿宋" w:eastAsia="仿宋" w:cs="仿宋"/>
          <w:sz w:val="28"/>
          <w:szCs w:val="28"/>
        </w:rPr>
        <w:t>要大于压盘式喇叭嘴的直径。</w:t>
      </w:r>
      <w:r>
        <w:rPr>
          <w:rFonts w:hint="eastAsia" w:ascii="仿宋" w:hAnsi="仿宋" w:eastAsia="仿宋" w:cs="仿宋"/>
          <w:sz w:val="28"/>
          <w:szCs w:val="28"/>
          <w:lang w:val="en-US" w:eastAsia="zh-CN"/>
        </w:rPr>
        <w:t>额定电流为4</w:t>
      </w:r>
      <w:r>
        <w:rPr>
          <w:rFonts w:hint="eastAsia" w:ascii="仿宋" w:hAnsi="仿宋" w:eastAsia="仿宋" w:cs="仿宋"/>
          <w:sz w:val="28"/>
          <w:szCs w:val="28"/>
        </w:rPr>
        <w:t>00A</w:t>
      </w:r>
      <w:r>
        <w:rPr>
          <w:rFonts w:hint="eastAsia" w:ascii="仿宋" w:hAnsi="仿宋" w:eastAsia="仿宋" w:cs="仿宋"/>
          <w:sz w:val="28"/>
          <w:szCs w:val="28"/>
          <w:lang w:val="en-US" w:eastAsia="zh-CN"/>
        </w:rPr>
        <w:t>的接线盒，四个压盘式喇叭嘴直径不得小于φ87mm。</w:t>
      </w:r>
      <w:r>
        <w:rPr>
          <w:rFonts w:hint="eastAsia" w:ascii="仿宋" w:hAnsi="仿宋" w:eastAsia="仿宋" w:cs="仿宋"/>
          <w:sz w:val="28"/>
          <w:szCs w:val="28"/>
        </w:rPr>
        <w:t>接线盒喇叭嘴</w:t>
      </w:r>
      <w:r>
        <w:rPr>
          <w:rFonts w:hint="eastAsia" w:ascii="仿宋" w:hAnsi="仿宋" w:eastAsia="仿宋" w:cs="仿宋"/>
          <w:sz w:val="28"/>
          <w:szCs w:val="28"/>
          <w:lang w:eastAsia="zh-CN"/>
        </w:rPr>
        <w:t>为</w:t>
      </w:r>
      <w:r>
        <w:rPr>
          <w:rFonts w:hint="eastAsia" w:ascii="仿宋" w:hAnsi="仿宋" w:eastAsia="仿宋" w:cs="仿宋"/>
          <w:sz w:val="28"/>
          <w:szCs w:val="28"/>
        </w:rPr>
        <w:t>旋入</w:t>
      </w:r>
      <w:r>
        <w:rPr>
          <w:rFonts w:hint="eastAsia" w:ascii="仿宋" w:hAnsi="仿宋" w:eastAsia="仿宋" w:cs="仿宋"/>
          <w:sz w:val="28"/>
          <w:szCs w:val="28"/>
          <w:lang w:eastAsia="zh-CN"/>
        </w:rPr>
        <w:t>式的，其</w:t>
      </w:r>
      <w:r>
        <w:rPr>
          <w:rFonts w:hint="eastAsia" w:ascii="仿宋" w:hAnsi="仿宋" w:eastAsia="仿宋" w:cs="仿宋"/>
          <w:sz w:val="28"/>
          <w:szCs w:val="28"/>
        </w:rPr>
        <w:t>最小扣数不得小于12扣，旋入深度不小于6扣。</w:t>
      </w:r>
    </w:p>
    <w:p w14:paraId="7AD1D22F">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8.接线盒隔爆结合面的最小有效长度L，螺栓通孔边缘至隔爆结合面内缘的最小有效长度l和隔爆结合面的最大间隙（或直径差）i须符合MT </w:t>
      </w:r>
      <w:r>
        <w:rPr>
          <w:rFonts w:hint="eastAsia" w:ascii="仿宋" w:hAnsi="仿宋" w:eastAsia="仿宋" w:cs="仿宋"/>
          <w:sz w:val="28"/>
          <w:szCs w:val="28"/>
        </w:rPr>
        <w:t>42</w:t>
      </w:r>
      <w:r>
        <w:rPr>
          <w:rFonts w:hint="eastAsia" w:ascii="仿宋" w:hAnsi="仿宋" w:eastAsia="仿宋" w:cs="仿宋"/>
          <w:sz w:val="28"/>
          <w:szCs w:val="28"/>
          <w:lang w:val="en-US" w:eastAsia="zh-CN"/>
        </w:rPr>
        <w:t>9</w:t>
      </w:r>
      <w:r>
        <w:rPr>
          <w:rFonts w:hint="eastAsia" w:ascii="仿宋" w:hAnsi="仿宋" w:eastAsia="仿宋" w:cs="仿宋"/>
          <w:sz w:val="28"/>
          <w:szCs w:val="28"/>
        </w:rPr>
        <w:t>-</w:t>
      </w:r>
      <w:r>
        <w:rPr>
          <w:rFonts w:hint="eastAsia" w:ascii="仿宋" w:hAnsi="仿宋" w:eastAsia="仿宋" w:cs="仿宋"/>
          <w:sz w:val="28"/>
          <w:szCs w:val="28"/>
          <w:lang w:val="en-US" w:eastAsia="zh-CN"/>
        </w:rPr>
        <w:t xml:space="preserve">2008标准中的要求。 </w:t>
      </w:r>
    </w:p>
    <w:p w14:paraId="7B5A10CE">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9.接线盒所带弹性密封圈应为实心，其宽度和厚度在正常使用情况下应满足防爆性能的要求；其材料的硬度应满足邵氏硬度45-50度，经弹性密封圈材料老化试验后，其硬度变化量应不超过20%。</w:t>
      </w:r>
    </w:p>
    <w:p w14:paraId="365D3138">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10.接线盒隔爆外壳经静压试验（水压试验）和冲击试验后，不得产生影响防爆性能的变形或损坏；经内部点燃不穿爆试验时，不应传爆。</w:t>
      </w:r>
    </w:p>
    <w:p w14:paraId="714C6067">
      <w:pPr>
        <w:adjustRightInd w:val="0"/>
        <w:snapToGrid w:val="0"/>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11</w:t>
      </w:r>
      <w:r>
        <w:rPr>
          <w:rFonts w:hint="eastAsia" w:ascii="仿宋" w:hAnsi="仿宋" w:eastAsia="仿宋" w:cs="仿宋"/>
          <w:sz w:val="28"/>
          <w:szCs w:val="28"/>
          <w:lang w:eastAsia="zh-CN"/>
        </w:rPr>
        <w:t>.接线盒外壳明显处应设置清晰的永久性铜质或不锈钢铭牌以及凸纹标志“</w:t>
      </w:r>
      <w:r>
        <w:rPr>
          <w:rFonts w:hint="eastAsia" w:ascii="仿宋" w:hAnsi="仿宋" w:eastAsia="仿宋" w:cs="仿宋"/>
          <w:sz w:val="28"/>
          <w:szCs w:val="28"/>
          <w:lang w:val="en-US" w:eastAsia="zh-CN"/>
        </w:rPr>
        <w:t>EXdⅠ</w:t>
      </w:r>
      <w:r>
        <w:rPr>
          <w:rFonts w:hint="eastAsia" w:ascii="仿宋" w:hAnsi="仿宋" w:eastAsia="仿宋" w:cs="仿宋"/>
          <w:sz w:val="28"/>
          <w:szCs w:val="28"/>
          <w:lang w:eastAsia="zh-CN"/>
        </w:rPr>
        <w:t>”、煤矿安全标志“</w:t>
      </w:r>
      <w:r>
        <w:rPr>
          <w:rFonts w:hint="eastAsia" w:ascii="仿宋" w:hAnsi="仿宋" w:eastAsia="仿宋" w:cs="仿宋"/>
          <w:sz w:val="28"/>
          <w:szCs w:val="28"/>
          <w:lang w:val="en-US" w:eastAsia="zh-CN"/>
        </w:rPr>
        <w:t>MA</w:t>
      </w:r>
      <w:r>
        <w:rPr>
          <w:rFonts w:hint="eastAsia" w:ascii="仿宋" w:hAnsi="仿宋" w:eastAsia="仿宋" w:cs="仿宋"/>
          <w:sz w:val="28"/>
          <w:szCs w:val="28"/>
          <w:lang w:eastAsia="zh-CN"/>
        </w:rPr>
        <w:t>”和“严禁带电开盖”警告牌，并可靠固定。“</w:t>
      </w:r>
      <w:r>
        <w:rPr>
          <w:rFonts w:hint="eastAsia" w:ascii="仿宋" w:hAnsi="仿宋" w:eastAsia="仿宋" w:cs="仿宋"/>
          <w:sz w:val="28"/>
          <w:szCs w:val="28"/>
          <w:lang w:val="en-US" w:eastAsia="zh-CN"/>
        </w:rPr>
        <w:t>EXdⅠ</w:t>
      </w:r>
      <w:r>
        <w:rPr>
          <w:rFonts w:hint="eastAsia" w:ascii="仿宋" w:hAnsi="仿宋" w:eastAsia="仿宋" w:cs="仿宋"/>
          <w:sz w:val="28"/>
          <w:szCs w:val="28"/>
          <w:lang w:eastAsia="zh-CN"/>
        </w:rPr>
        <w:t>”、煤矿安全标志“</w:t>
      </w:r>
      <w:r>
        <w:rPr>
          <w:rFonts w:hint="eastAsia" w:ascii="仿宋" w:hAnsi="仿宋" w:eastAsia="仿宋" w:cs="仿宋"/>
          <w:sz w:val="28"/>
          <w:szCs w:val="28"/>
          <w:lang w:val="en-US" w:eastAsia="zh-CN"/>
        </w:rPr>
        <w:t>MA</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及铭牌内容必须采用钢印印在铭牌上面</w:t>
      </w:r>
      <w:r>
        <w:rPr>
          <w:rFonts w:hint="eastAsia" w:ascii="仿宋" w:hAnsi="仿宋" w:eastAsia="仿宋" w:cs="仿宋"/>
          <w:sz w:val="28"/>
          <w:szCs w:val="28"/>
          <w:lang w:eastAsia="zh-CN"/>
        </w:rPr>
        <w:t>。</w:t>
      </w:r>
    </w:p>
    <w:p w14:paraId="33D3CC9C">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12.接线盒应设有内、外接地装置，并设有明显标识；</w:t>
      </w:r>
      <w:r>
        <w:rPr>
          <w:rFonts w:hint="eastAsia" w:ascii="仿宋" w:hAnsi="仿宋" w:eastAsia="仿宋" w:cs="仿宋"/>
          <w:sz w:val="28"/>
          <w:szCs w:val="28"/>
          <w:lang w:eastAsia="zh-CN"/>
        </w:rPr>
        <w:t>腔</w:t>
      </w:r>
      <w:r>
        <w:rPr>
          <w:rFonts w:hint="eastAsia" w:ascii="仿宋" w:hAnsi="仿宋" w:eastAsia="仿宋" w:cs="仿宋"/>
          <w:sz w:val="28"/>
          <w:szCs w:val="28"/>
        </w:rPr>
        <w:t>内不得有尖锐边角，防止施工时造成伤害。</w:t>
      </w:r>
    </w:p>
    <w:p w14:paraId="45F5ADE7">
      <w:pPr>
        <w:adjustRightInd w:val="0"/>
        <w:snapToGrid w:val="0"/>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、设计、生产、制造、安装、检验检测所需资质文件</w:t>
      </w:r>
    </w:p>
    <w:p w14:paraId="5A71027B">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卖方应提供以下资质文件：营业执照、有效的矿用产品安全标志证书、防爆合格证、生产许可证、产品合格证（内容包括制造单位、产品名称、规格型号、制造日期或生产批号）等。</w:t>
      </w:r>
    </w:p>
    <w:p w14:paraId="4C09F8FA">
      <w:pPr>
        <w:adjustRightInd w:val="0"/>
        <w:snapToGrid w:val="0"/>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五、</w:t>
      </w:r>
      <w:bookmarkStart w:id="2" w:name="货物使用环境及范围"/>
      <w:bookmarkEnd w:id="2"/>
      <w:r>
        <w:rPr>
          <w:rFonts w:hint="eastAsia" w:ascii="仿宋" w:hAnsi="仿宋" w:eastAsia="仿宋" w:cs="仿宋"/>
          <w:b/>
          <w:bCs/>
          <w:sz w:val="28"/>
          <w:szCs w:val="28"/>
        </w:rPr>
        <w:t>货物使用环境及范围</w:t>
      </w:r>
    </w:p>
    <w:p w14:paraId="1481467B">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1.环境气压：86kPa～110kPa；</w:t>
      </w:r>
    </w:p>
    <w:p w14:paraId="3AF91233">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2.环境温度：-20～+40℃；</w:t>
      </w:r>
    </w:p>
    <w:p w14:paraId="6B57970D">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3.环境空气最大相对湿度不超过95％（当环境温度为25℃时）；</w:t>
      </w:r>
    </w:p>
    <w:p w14:paraId="02666AF2">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4.具有甲烷爆炸性气体混合物的煤矿井下；</w:t>
      </w:r>
    </w:p>
    <w:p w14:paraId="7FF42B1C">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5.无直接滴水、无显著摇动和剧烈冲击振动的环境；</w:t>
      </w:r>
    </w:p>
    <w:p w14:paraId="5E423355">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6.污染等级：3级；</w:t>
      </w:r>
    </w:p>
    <w:p w14:paraId="3C851B07">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7.安装类别：Ⅲ。</w:t>
      </w:r>
    </w:p>
    <w:p w14:paraId="7B4A583E">
      <w:pPr>
        <w:adjustRightInd w:val="0"/>
        <w:snapToGrid w:val="0"/>
        <w:spacing w:line="560" w:lineRule="exact"/>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rPr>
        <w:t>六、</w:t>
      </w:r>
      <w:bookmarkStart w:id="3" w:name="货物适用标准"/>
      <w:bookmarkEnd w:id="3"/>
      <w:r>
        <w:rPr>
          <w:rFonts w:hint="eastAsia" w:ascii="仿宋" w:hAnsi="仿宋" w:eastAsia="仿宋" w:cs="仿宋"/>
          <w:b/>
          <w:bCs/>
          <w:sz w:val="28"/>
          <w:szCs w:val="28"/>
        </w:rPr>
        <w:t>货物适用标准</w:t>
      </w:r>
    </w:p>
    <w:p w14:paraId="32EABC8E">
      <w:pPr>
        <w:adjustRightInd w:val="0"/>
        <w:snapToGrid w:val="0"/>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MT </w:t>
      </w:r>
      <w:r>
        <w:rPr>
          <w:rFonts w:hint="eastAsia" w:ascii="仿宋" w:hAnsi="仿宋" w:eastAsia="仿宋" w:cs="仿宋"/>
          <w:sz w:val="28"/>
          <w:szCs w:val="28"/>
        </w:rPr>
        <w:t>42</w:t>
      </w:r>
      <w:r>
        <w:rPr>
          <w:rFonts w:hint="eastAsia" w:ascii="仿宋" w:hAnsi="仿宋" w:eastAsia="仿宋" w:cs="仿宋"/>
          <w:sz w:val="28"/>
          <w:szCs w:val="28"/>
          <w:lang w:val="en-US" w:eastAsia="zh-CN"/>
        </w:rPr>
        <w:t>9</w:t>
      </w:r>
      <w:r>
        <w:rPr>
          <w:rFonts w:hint="eastAsia" w:ascii="仿宋" w:hAnsi="仿宋" w:eastAsia="仿宋" w:cs="仿宋"/>
          <w:sz w:val="28"/>
          <w:szCs w:val="28"/>
        </w:rPr>
        <w:t>-</w:t>
      </w:r>
      <w:r>
        <w:rPr>
          <w:rFonts w:hint="eastAsia" w:ascii="仿宋" w:hAnsi="仿宋" w:eastAsia="仿宋" w:cs="仿宋"/>
          <w:sz w:val="28"/>
          <w:szCs w:val="28"/>
          <w:lang w:val="en-US" w:eastAsia="zh-CN"/>
        </w:rPr>
        <w:t xml:space="preserve">2008  </w:t>
      </w:r>
      <w:r>
        <w:rPr>
          <w:rFonts w:hint="eastAsia" w:ascii="仿宋" w:hAnsi="仿宋" w:eastAsia="仿宋" w:cs="仿宋"/>
          <w:sz w:val="28"/>
          <w:szCs w:val="28"/>
          <w:lang w:eastAsia="zh-CN"/>
        </w:rPr>
        <w:t>煤矿用隔爆型低压电缆接线盒</w:t>
      </w:r>
    </w:p>
    <w:p w14:paraId="4B720FB1">
      <w:pPr>
        <w:adjustRightInd w:val="0"/>
        <w:snapToGrid w:val="0"/>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MT/T 1100-2009 煤矿用隔爆型高压电缆接线盒</w:t>
      </w:r>
    </w:p>
    <w:p w14:paraId="534963CD">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GB 3836.1-2021 爆炸性气体环境用电气设备第1部分：通用要求</w:t>
      </w:r>
    </w:p>
    <w:p w14:paraId="58D1B8B3">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GB 3836.2-2021 爆炸性气体环境用电气设备第2部分：隔爆型 “d” </w:t>
      </w:r>
    </w:p>
    <w:p w14:paraId="4DF381F4">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MT/T 661-2011</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煤矿井下用电器设备通用技术条件</w:t>
      </w:r>
      <w:r>
        <w:rPr>
          <w:rFonts w:hint="eastAsia" w:ascii="仿宋" w:hAnsi="仿宋" w:eastAsia="仿宋" w:cs="仿宋"/>
          <w:sz w:val="28"/>
          <w:szCs w:val="28"/>
        </w:rPr>
        <w:t xml:space="preserve"> </w:t>
      </w:r>
    </w:p>
    <w:p w14:paraId="1AAEA3AA">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GB 51145-2015 煤矿电气设备安装工程施工与验收规范</w:t>
      </w:r>
    </w:p>
    <w:p w14:paraId="4A18FA6C">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《河南省煤矿防爆电气性能检查细则》</w:t>
      </w:r>
    </w:p>
    <w:p w14:paraId="33CC3FAC">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其他国家及行业相关执行标准规定，如有最新版本的规范标准，应按最新版本执行。</w:t>
      </w:r>
    </w:p>
    <w:p w14:paraId="1B3D137F">
      <w:pPr>
        <w:adjustRightInd w:val="0"/>
        <w:snapToGrid w:val="0"/>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、质量及验收要求</w:t>
      </w:r>
    </w:p>
    <w:p w14:paraId="020D4CBF">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接线盒做工工艺良好。外壳不得裂纹、开焊现象；紧固螺栓螺纹清晰、无乱扣现象；螺栓强度符合要求，且同一用途规格型号保持一致；</w:t>
      </w:r>
      <w:r>
        <w:rPr>
          <w:rFonts w:hint="eastAsia" w:ascii="仿宋" w:hAnsi="仿宋" w:eastAsia="仿宋" w:cs="仿宋"/>
          <w:sz w:val="28"/>
          <w:szCs w:val="28"/>
        </w:rPr>
        <w:t>防爆腔内壁不得有气泡、沙眼等缺陷，防爆面不得有损伤或沙眼等，防爆间隙等</w:t>
      </w:r>
      <w:r>
        <w:rPr>
          <w:rFonts w:hint="eastAsia" w:ascii="仿宋" w:hAnsi="仿宋" w:eastAsia="仿宋" w:cs="仿宋"/>
          <w:sz w:val="28"/>
          <w:szCs w:val="28"/>
          <w:lang w:val="en-US" w:eastAsia="zh-CN"/>
        </w:rPr>
        <w:t>符合</w:t>
      </w:r>
      <w:r>
        <w:rPr>
          <w:rFonts w:hint="eastAsia" w:ascii="仿宋" w:hAnsi="仿宋" w:eastAsia="仿宋" w:cs="仿宋"/>
          <w:sz w:val="28"/>
          <w:szCs w:val="28"/>
        </w:rPr>
        <w:t>《河南省煤矿防爆电气性能检查细则》</w:t>
      </w:r>
      <w:r>
        <w:rPr>
          <w:rFonts w:hint="eastAsia" w:ascii="仿宋" w:hAnsi="仿宋" w:eastAsia="仿宋" w:cs="仿宋"/>
          <w:sz w:val="28"/>
          <w:szCs w:val="28"/>
          <w:lang w:val="en-US" w:eastAsia="zh-CN"/>
        </w:rPr>
        <w:t>要求</w:t>
      </w:r>
      <w:r>
        <w:rPr>
          <w:rFonts w:hint="eastAsia" w:ascii="仿宋" w:hAnsi="仿宋" w:eastAsia="仿宋" w:cs="仿宋"/>
          <w:sz w:val="28"/>
          <w:szCs w:val="28"/>
        </w:rPr>
        <w:t>。</w:t>
      </w:r>
    </w:p>
    <w:p w14:paraId="0A40E0EE">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rPr>
        <w:t>器件内外有合格的防锈措施，器件灵活完好</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无</w:t>
      </w:r>
      <w:r>
        <w:rPr>
          <w:rFonts w:hint="eastAsia" w:ascii="仿宋" w:hAnsi="仿宋" w:eastAsia="仿宋" w:cs="仿宋"/>
          <w:sz w:val="28"/>
          <w:szCs w:val="28"/>
        </w:rPr>
        <w:t>缺失。</w:t>
      </w:r>
    </w:p>
    <w:p w14:paraId="04A2354D">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rPr>
        <w:t>铭牌、</w:t>
      </w:r>
      <w:r>
        <w:rPr>
          <w:rFonts w:hint="eastAsia" w:ascii="仿宋" w:hAnsi="仿宋" w:eastAsia="仿宋" w:cs="仿宋"/>
          <w:sz w:val="28"/>
          <w:szCs w:val="28"/>
          <w:lang w:eastAsia="zh-CN"/>
        </w:rPr>
        <w:t>防爆标志、</w:t>
      </w:r>
      <w:r>
        <w:rPr>
          <w:rFonts w:hint="eastAsia" w:ascii="仿宋" w:hAnsi="仿宋" w:eastAsia="仿宋" w:cs="仿宋"/>
          <w:sz w:val="28"/>
          <w:szCs w:val="28"/>
        </w:rPr>
        <w:t>煤安标志</w:t>
      </w:r>
      <w:r>
        <w:rPr>
          <w:rFonts w:hint="eastAsia" w:ascii="仿宋" w:hAnsi="仿宋" w:eastAsia="仿宋" w:cs="仿宋"/>
          <w:sz w:val="28"/>
          <w:szCs w:val="28"/>
          <w:lang w:eastAsia="zh-CN"/>
        </w:rPr>
        <w:t>等齐全且</w:t>
      </w:r>
      <w:r>
        <w:rPr>
          <w:rFonts w:hint="eastAsia" w:ascii="仿宋" w:hAnsi="仿宋" w:eastAsia="仿宋" w:cs="仿宋"/>
          <w:sz w:val="28"/>
          <w:szCs w:val="28"/>
        </w:rPr>
        <w:t>固定</w:t>
      </w:r>
      <w:r>
        <w:rPr>
          <w:rFonts w:hint="eastAsia" w:ascii="仿宋" w:hAnsi="仿宋" w:eastAsia="仿宋" w:cs="仿宋"/>
          <w:sz w:val="28"/>
          <w:szCs w:val="28"/>
          <w:lang w:val="en-US" w:eastAsia="zh-CN"/>
        </w:rPr>
        <w:t>清晰</w:t>
      </w:r>
      <w:r>
        <w:rPr>
          <w:rFonts w:hint="eastAsia" w:ascii="仿宋" w:hAnsi="仿宋" w:eastAsia="仿宋" w:cs="仿宋"/>
          <w:sz w:val="28"/>
          <w:szCs w:val="28"/>
          <w:lang w:eastAsia="zh-CN"/>
        </w:rPr>
        <w:t>可靠</w:t>
      </w:r>
      <w:r>
        <w:rPr>
          <w:rFonts w:hint="eastAsia" w:ascii="仿宋" w:hAnsi="仿宋" w:eastAsia="仿宋" w:cs="仿宋"/>
          <w:sz w:val="28"/>
          <w:szCs w:val="28"/>
        </w:rPr>
        <w:t>。</w:t>
      </w:r>
    </w:p>
    <w:p w14:paraId="1110482D">
      <w:pPr>
        <w:adjustRightInd w:val="0"/>
        <w:snapToGrid w:val="0"/>
        <w:spacing w:line="5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w:t>
      </w:r>
      <w:r>
        <w:rPr>
          <w:rFonts w:hint="eastAsia" w:ascii="仿宋" w:hAnsi="仿宋" w:eastAsia="仿宋" w:cs="仿宋"/>
          <w:sz w:val="28"/>
          <w:szCs w:val="28"/>
        </w:rPr>
        <w:t>铭牌、</w:t>
      </w:r>
      <w:r>
        <w:rPr>
          <w:rFonts w:hint="eastAsia" w:ascii="仿宋" w:hAnsi="仿宋" w:eastAsia="仿宋" w:cs="仿宋"/>
          <w:sz w:val="28"/>
          <w:szCs w:val="28"/>
          <w:lang w:eastAsia="zh-CN"/>
        </w:rPr>
        <w:t>防爆标志、</w:t>
      </w:r>
      <w:r>
        <w:rPr>
          <w:rFonts w:hint="eastAsia" w:ascii="仿宋" w:hAnsi="仿宋" w:eastAsia="仿宋" w:cs="仿宋"/>
          <w:sz w:val="28"/>
          <w:szCs w:val="28"/>
        </w:rPr>
        <w:t>煤安标志</w:t>
      </w:r>
      <w:r>
        <w:rPr>
          <w:rFonts w:hint="eastAsia" w:ascii="仿宋" w:hAnsi="仿宋" w:eastAsia="仿宋" w:cs="仿宋"/>
          <w:sz w:val="28"/>
          <w:szCs w:val="28"/>
          <w:lang w:val="en-US" w:eastAsia="zh-CN"/>
        </w:rPr>
        <w:t>内容必须采用钢印印制</w:t>
      </w:r>
      <w:r>
        <w:rPr>
          <w:rFonts w:hint="eastAsia" w:ascii="仿宋" w:hAnsi="仿宋" w:eastAsia="仿宋" w:cs="仿宋"/>
          <w:sz w:val="28"/>
          <w:szCs w:val="28"/>
        </w:rPr>
        <w:t>。</w:t>
      </w:r>
    </w:p>
    <w:p w14:paraId="71B3F7EB">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lang w:eastAsia="zh-CN"/>
        </w:rPr>
        <w:t>.</w:t>
      </w:r>
      <w:r>
        <w:rPr>
          <w:rFonts w:hint="eastAsia" w:ascii="仿宋" w:hAnsi="仿宋" w:eastAsia="仿宋" w:cs="仿宋"/>
          <w:sz w:val="28"/>
          <w:szCs w:val="28"/>
        </w:rPr>
        <w:t>在批量中进行抽样检查，每种抽样2～3个开盖检查确认，不符合上述规定退货。</w:t>
      </w:r>
    </w:p>
    <w:p w14:paraId="0F3605B4">
      <w:pPr>
        <w:adjustRightInd w:val="0"/>
        <w:snapToGrid w:val="0"/>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八</w:t>
      </w:r>
      <w:r>
        <w:rPr>
          <w:rFonts w:hint="eastAsia" w:ascii="仿宋" w:hAnsi="仿宋" w:eastAsia="仿宋" w:cs="仿宋"/>
          <w:b/>
          <w:bCs/>
          <w:sz w:val="28"/>
          <w:szCs w:val="28"/>
        </w:rPr>
        <w:t>、服务及质保要求</w:t>
      </w:r>
    </w:p>
    <w:p w14:paraId="60E0C55A">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卖方应向买方及时提供货品。到货后，买方对产品进行验收，若产品验收合格则给予签收，否则，予以退货。</w:t>
      </w:r>
    </w:p>
    <w:p w14:paraId="25B66898">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w:t>
      </w:r>
      <w:r>
        <w:rPr>
          <w:rFonts w:hint="eastAsia" w:ascii="仿宋" w:hAnsi="仿宋" w:eastAsia="仿宋" w:cs="仿宋"/>
          <w:sz w:val="28"/>
          <w:szCs w:val="28"/>
        </w:rPr>
        <w:t>在产品使用过程中出现紧急情况，卖方接到电话或传真后1小时内提供处理方案，需到现场的应在24小时内到达处理。</w:t>
      </w:r>
    </w:p>
    <w:p w14:paraId="7D115192">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w:t>
      </w:r>
      <w:r>
        <w:rPr>
          <w:rFonts w:hint="eastAsia" w:ascii="仿宋" w:hAnsi="仿宋" w:eastAsia="仿宋" w:cs="仿宋"/>
          <w:sz w:val="28"/>
          <w:szCs w:val="28"/>
        </w:rPr>
        <w:t>自</w:t>
      </w:r>
      <w:r>
        <w:rPr>
          <w:rFonts w:hint="eastAsia" w:ascii="仿宋" w:hAnsi="仿宋" w:eastAsia="仿宋" w:cs="仿宋"/>
          <w:sz w:val="28"/>
          <w:szCs w:val="28"/>
          <w:lang w:val="en-US" w:eastAsia="zh-CN"/>
        </w:rPr>
        <w:t>设备</w:t>
      </w:r>
      <w:r>
        <w:rPr>
          <w:rFonts w:hint="eastAsia" w:ascii="仿宋" w:hAnsi="仿宋" w:eastAsia="仿宋" w:cs="仿宋"/>
          <w:sz w:val="28"/>
          <w:szCs w:val="28"/>
        </w:rPr>
        <w:t>通过验收之日起，质保期一年</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产品质保期</w:t>
      </w:r>
      <w:r>
        <w:rPr>
          <w:rFonts w:hint="eastAsia" w:ascii="仿宋" w:hAnsi="仿宋" w:eastAsia="仿宋" w:cs="仿宋"/>
          <w:sz w:val="28"/>
          <w:szCs w:val="28"/>
        </w:rPr>
        <w:t>内出现质量问题，卖方须免费给予更换，相关费用由卖方承担。</w:t>
      </w:r>
    </w:p>
    <w:p w14:paraId="6720121A">
      <w:pPr>
        <w:adjustRightInd w:val="0"/>
        <w:snapToGrid w:val="0"/>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九</w:t>
      </w:r>
      <w:r>
        <w:rPr>
          <w:rFonts w:hint="eastAsia" w:ascii="仿宋" w:hAnsi="仿宋" w:eastAsia="仿宋" w:cs="仿宋"/>
          <w:b/>
          <w:bCs/>
          <w:sz w:val="28"/>
          <w:szCs w:val="28"/>
        </w:rPr>
        <w:t>、运输及包装要求</w:t>
      </w:r>
    </w:p>
    <w:p w14:paraId="6639359C">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采取有效措施做好产品的防护，以防在运输和装卸过程中损坏产品。</w:t>
      </w:r>
    </w:p>
    <w:p w14:paraId="1F69389A">
      <w:pPr>
        <w:adjustRightInd w:val="0"/>
        <w:snapToGrid w:val="0"/>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十、供货方须提供技术资料要求</w:t>
      </w:r>
      <w:bookmarkStart w:id="4" w:name="供货方须提供技术资料要求"/>
      <w:bookmarkEnd w:id="4"/>
    </w:p>
    <w:p w14:paraId="46B02D64">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供货方必须提供出厂时</w:t>
      </w:r>
      <w:r>
        <w:rPr>
          <w:rFonts w:hint="eastAsia" w:ascii="仿宋" w:hAnsi="仿宋" w:eastAsia="仿宋" w:cs="仿宋"/>
          <w:sz w:val="28"/>
          <w:szCs w:val="28"/>
          <w:lang w:val="en-US" w:eastAsia="zh-CN"/>
        </w:rPr>
        <w:t>的</w:t>
      </w:r>
      <w:r>
        <w:rPr>
          <w:rFonts w:hint="eastAsia" w:ascii="仿宋" w:hAnsi="仿宋" w:eastAsia="仿宋" w:cs="仿宋"/>
          <w:sz w:val="28"/>
          <w:szCs w:val="28"/>
        </w:rPr>
        <w:t>设备性能测试报告</w:t>
      </w:r>
      <w:r>
        <w:rPr>
          <w:rFonts w:hint="eastAsia" w:ascii="仿宋" w:hAnsi="仿宋" w:eastAsia="仿宋" w:cs="仿宋"/>
          <w:sz w:val="28"/>
          <w:szCs w:val="28"/>
          <w:lang w:eastAsia="zh-CN"/>
        </w:rPr>
        <w:t>、</w:t>
      </w:r>
      <w:r>
        <w:rPr>
          <w:rFonts w:hint="eastAsia" w:ascii="仿宋" w:hAnsi="仿宋" w:eastAsia="仿宋" w:cs="仿宋"/>
          <w:sz w:val="28"/>
          <w:szCs w:val="28"/>
        </w:rPr>
        <w:t>产品合格证、煤安证、防爆合格证。</w:t>
      </w:r>
    </w:p>
    <w:p w14:paraId="64C0EAF5">
      <w:pPr>
        <w:adjustRightInd w:val="0"/>
        <w:snapToGrid w:val="0"/>
        <w:spacing w:line="560" w:lineRule="exact"/>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十一</w:t>
      </w:r>
      <w:r>
        <w:rPr>
          <w:rFonts w:hint="eastAsia" w:ascii="仿宋" w:hAnsi="仿宋" w:eastAsia="仿宋" w:cs="仿宋"/>
          <w:b/>
          <w:bCs/>
          <w:sz w:val="28"/>
          <w:szCs w:val="28"/>
        </w:rPr>
        <w:t>、其</w:t>
      </w:r>
      <w:r>
        <w:rPr>
          <w:rFonts w:hint="eastAsia" w:ascii="仿宋" w:hAnsi="仿宋" w:eastAsia="仿宋" w:cs="仿宋"/>
          <w:b/>
          <w:bCs/>
          <w:sz w:val="28"/>
          <w:szCs w:val="28"/>
          <w:lang w:val="en-US" w:eastAsia="zh-CN"/>
        </w:rPr>
        <w:t>他</w:t>
      </w:r>
    </w:p>
    <w:p w14:paraId="44F6F30D">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当产品发生因制造质量或资质认证等方面问题时，责任由卖方承担。</w:t>
      </w:r>
    </w:p>
    <w:p w14:paraId="09FEE44E">
      <w:pPr>
        <w:adjustRightInd w:val="0"/>
        <w:snapToGrid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技术联系人：</w:t>
      </w:r>
      <w:r>
        <w:rPr>
          <w:rFonts w:hint="eastAsia" w:ascii="仿宋" w:hAnsi="仿宋" w:eastAsia="仿宋" w:cs="仿宋"/>
          <w:sz w:val="28"/>
          <w:szCs w:val="28"/>
          <w:lang w:val="en-US" w:eastAsia="zh-CN"/>
        </w:rPr>
        <w:t>王</w:t>
      </w:r>
      <w:bookmarkStart w:id="5" w:name="_GoBack"/>
      <w:bookmarkEnd w:id="5"/>
      <w:r>
        <w:rPr>
          <w:rFonts w:hint="eastAsia" w:ascii="仿宋" w:hAnsi="仿宋" w:eastAsia="仿宋" w:cs="仿宋"/>
          <w:sz w:val="28"/>
          <w:szCs w:val="28"/>
          <w:lang w:val="en-US" w:eastAsia="zh-CN"/>
        </w:rPr>
        <w:t xml:space="preserve">珂          </w:t>
      </w:r>
      <w:r>
        <w:rPr>
          <w:rFonts w:hint="eastAsia" w:ascii="仿宋" w:hAnsi="仿宋" w:eastAsia="仿宋" w:cs="仿宋"/>
          <w:sz w:val="28"/>
          <w:szCs w:val="28"/>
        </w:rPr>
        <w:t xml:space="preserve">电话：03705193442   </w:t>
      </w:r>
      <w:r>
        <w:rPr>
          <w:rFonts w:hint="eastAsia" w:ascii="仿宋" w:hAnsi="仿宋" w:eastAsia="仿宋" w:cs="仿宋"/>
          <w:sz w:val="28"/>
          <w:szCs w:val="28"/>
          <w:lang w:val="en-US" w:eastAsia="zh-CN"/>
        </w:rPr>
        <w:t>19837053996</w:t>
      </w:r>
    </w:p>
    <w:p w14:paraId="418B1BF6">
      <w:pPr>
        <w:adjustRightInd w:val="0"/>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邮箱：</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"mailto:455926915@qq.com"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673409071</w:t>
      </w:r>
      <w:r>
        <w:rPr>
          <w:rFonts w:hint="eastAsia" w:ascii="仿宋" w:hAnsi="仿宋" w:eastAsia="仿宋" w:cs="仿宋"/>
          <w:sz w:val="28"/>
          <w:szCs w:val="28"/>
        </w:rPr>
        <w:t>@qq.com</w:t>
      </w:r>
      <w:r>
        <w:rPr>
          <w:rFonts w:hint="eastAsia" w:ascii="仿宋" w:hAnsi="仿宋" w:eastAsia="仿宋" w:cs="仿宋"/>
          <w:sz w:val="28"/>
          <w:szCs w:val="28"/>
        </w:rPr>
        <w:fldChar w:fldCharType="end"/>
      </w:r>
      <w:r>
        <w:rPr>
          <w:rFonts w:hint="eastAsia" w:ascii="仿宋" w:hAnsi="仿宋" w:eastAsia="仿宋" w:cs="仿宋"/>
          <w:sz w:val="28"/>
          <w:szCs w:val="28"/>
        </w:rPr>
        <w:t xml:space="preserve"> </w:t>
      </w:r>
    </w:p>
    <w:p w14:paraId="42F53235"/>
    <w:sectPr>
      <w:headerReference r:id="rId4" w:type="default"/>
      <w:footerReference r:id="rId5" w:type="default"/>
      <w:pgSz w:w="11906" w:h="16838"/>
      <w:pgMar w:top="1440" w:right="1417" w:bottom="1440" w:left="141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SimSun,Bold">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5DE6F">
    <w:pPr>
      <w:pStyle w:val="4"/>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0463999">
                          <w:pPr>
                            <w:pStyle w:val="4"/>
                            <w:jc w:val="right"/>
                            <w:rPr>
                              <w:rFonts w:hint="eastAsia" w:eastAsia="宋体"/>
                              <w:lang w:val="en-US"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50463999">
                    <w:pPr>
                      <w:pStyle w:val="4"/>
                      <w:jc w:val="right"/>
                      <w:rPr>
                        <w:rFonts w:hint="eastAsia" w:eastAsia="宋体"/>
                        <w:lang w:val="en-US" w:eastAsia="zh-CN"/>
                      </w:rPr>
                    </w:pPr>
                  </w:p>
                </w:txbxContent>
              </v:textbox>
            </v:shape>
          </w:pict>
        </mc:Fallback>
      </mc:AlternateContent>
    </w:r>
  </w:p>
  <w:p w14:paraId="15444EB0">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DA318">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6E6F33">
                          <w:pPr>
                            <w:pStyle w:val="4"/>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96E6F33">
                    <w:pPr>
                      <w:pStyle w:val="4"/>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27422">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BkZDI2MTk1NTZhMGE1YTRlM2NlODBhYTljMDY0YjgifQ=="/>
  </w:docVars>
  <w:rsids>
    <w:rsidRoot w:val="00000000"/>
    <w:rsid w:val="00180EF0"/>
    <w:rsid w:val="04C31809"/>
    <w:rsid w:val="06CC1942"/>
    <w:rsid w:val="07F12200"/>
    <w:rsid w:val="08A059D4"/>
    <w:rsid w:val="0A206DCD"/>
    <w:rsid w:val="0A4505E1"/>
    <w:rsid w:val="0D817B82"/>
    <w:rsid w:val="0ECA7307"/>
    <w:rsid w:val="10BB1BC4"/>
    <w:rsid w:val="10D206F5"/>
    <w:rsid w:val="111D5E14"/>
    <w:rsid w:val="12C50511"/>
    <w:rsid w:val="12D76496"/>
    <w:rsid w:val="15E72303"/>
    <w:rsid w:val="16C94348"/>
    <w:rsid w:val="17B40B54"/>
    <w:rsid w:val="19D92807"/>
    <w:rsid w:val="1ABF1CEA"/>
    <w:rsid w:val="1FA82AFC"/>
    <w:rsid w:val="1FEA2AF1"/>
    <w:rsid w:val="234E00AF"/>
    <w:rsid w:val="23F46EA8"/>
    <w:rsid w:val="24F44CF8"/>
    <w:rsid w:val="26B80661"/>
    <w:rsid w:val="29C80AFB"/>
    <w:rsid w:val="2D297CC5"/>
    <w:rsid w:val="2E443CD9"/>
    <w:rsid w:val="2EB57587"/>
    <w:rsid w:val="33CA3782"/>
    <w:rsid w:val="35A973C7"/>
    <w:rsid w:val="37B425DB"/>
    <w:rsid w:val="37D72911"/>
    <w:rsid w:val="400B3158"/>
    <w:rsid w:val="41106296"/>
    <w:rsid w:val="439861DB"/>
    <w:rsid w:val="48A759E8"/>
    <w:rsid w:val="492A5D14"/>
    <w:rsid w:val="4A4C6847"/>
    <w:rsid w:val="4C6C1422"/>
    <w:rsid w:val="4E656129"/>
    <w:rsid w:val="4F0B013B"/>
    <w:rsid w:val="4F950C90"/>
    <w:rsid w:val="502C78ED"/>
    <w:rsid w:val="515643D1"/>
    <w:rsid w:val="51CB2747"/>
    <w:rsid w:val="527032EE"/>
    <w:rsid w:val="530B6E9D"/>
    <w:rsid w:val="53360094"/>
    <w:rsid w:val="53B37937"/>
    <w:rsid w:val="557355CF"/>
    <w:rsid w:val="58E249FD"/>
    <w:rsid w:val="59F82547"/>
    <w:rsid w:val="5A516CAB"/>
    <w:rsid w:val="5B834092"/>
    <w:rsid w:val="5B9236B8"/>
    <w:rsid w:val="5D7E259B"/>
    <w:rsid w:val="5D9973DD"/>
    <w:rsid w:val="6085265B"/>
    <w:rsid w:val="617B03EF"/>
    <w:rsid w:val="62265778"/>
    <w:rsid w:val="622A5268"/>
    <w:rsid w:val="626D33A6"/>
    <w:rsid w:val="66B5531C"/>
    <w:rsid w:val="6C904861"/>
    <w:rsid w:val="6D1A237D"/>
    <w:rsid w:val="6DF777CB"/>
    <w:rsid w:val="6EA40268"/>
    <w:rsid w:val="6EED4B84"/>
    <w:rsid w:val="715A543E"/>
    <w:rsid w:val="76377AFB"/>
    <w:rsid w:val="77AC16A8"/>
    <w:rsid w:val="78740900"/>
    <w:rsid w:val="7A6730A5"/>
    <w:rsid w:val="7BA90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99"/>
    <w:pPr>
      <w:ind w:firstLine="420"/>
      <w:jc w:val="both"/>
    </w:pPr>
    <w:rPr>
      <w:rFonts w:ascii="Times New Roman" w:hAnsi="Times New Roman" w:cs="Times New Roman"/>
      <w:kern w:val="2"/>
      <w:sz w:val="21"/>
      <w:szCs w:val="20"/>
      <w:lang w:eastAsia="zh-C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2072</Words>
  <Characters>2359</Characters>
  <Lines>0</Lines>
  <Paragraphs>0</Paragraphs>
  <TotalTime>4</TotalTime>
  <ScaleCrop>false</ScaleCrop>
  <LinksUpToDate>false</LinksUpToDate>
  <CharactersWithSpaces>2405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2021-05-07T08:10:00Z</dcterms:created>
  <dc:creator>DELL</dc:creator>
  <cp:lastModifiedBy>噹噹爱吃糖</cp:lastModifiedBy>
  <cp:lastPrinted>2025-11-14T06:23:00Z</cp:lastPrinted>
  <dcterms:modified xsi:type="dcterms:W3CDTF">2025-11-16T02:03:35Z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2C6F38FD07D14909A435C6C9A665E97F</vt:lpwstr>
  </property>
  <property fmtid="{D5CDD505-2E9C-101B-9397-08002B2CF9AE}" pid="4" name="KSOTemplateDocerSaveRecord">
    <vt:lpwstr>eyJoZGlkIjoiOWEzYmEwY2IwMTkxZTFhNzA2YzBiZTFmNGYyMWE4MzgiLCJ1c2VySWQiOiIzOTUyNTAxNTYifQ==</vt:lpwstr>
  </property>
</Properties>
</file>