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ADF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1000" w:lineRule="exact"/>
        <w:jc w:val="both"/>
        <w:textAlignment w:val="auto"/>
        <w:outlineLvl w:val="9"/>
        <w:rPr>
          <w:rFonts w:hint="eastAsia" w:ascii="Times New Roman" w:hAnsi="Times New Roman" w:eastAsia="宋体" w:cs="Times New Roman"/>
          <w:b/>
          <w:bCs/>
          <w:color w:val="auto"/>
          <w:sz w:val="40"/>
          <w:szCs w:val="40"/>
          <w:lang w:val="en-US" w:eastAsia="zh-CN"/>
        </w:rPr>
      </w:pPr>
      <w:bookmarkStart w:id="0" w:name="_GoBack"/>
    </w:p>
    <w:p w14:paraId="348CD8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1000" w:lineRule="exact"/>
        <w:jc w:val="center"/>
        <w:textAlignment w:val="auto"/>
        <w:outlineLvl w:val="9"/>
        <w:rPr>
          <w:rFonts w:hint="eastAsia" w:ascii="Times New Roman" w:hAnsi="Times New Roman" w:eastAsia="宋体" w:cs="Times New Roman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sz w:val="40"/>
          <w:szCs w:val="40"/>
          <w:lang w:val="en-US" w:eastAsia="zh-CN"/>
        </w:rPr>
        <w:t xml:space="preserve">永城煤电控股集团有限公司设备管理分公司 </w:t>
      </w:r>
    </w:p>
    <w:p w14:paraId="72B7248B">
      <w:pPr>
        <w:spacing w:line="360" w:lineRule="auto"/>
        <w:ind w:left="-9" w:leftChars="-10" w:hanging="12" w:hangingChars="3"/>
        <w:jc w:val="center"/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sz w:val="40"/>
          <w:szCs w:val="40"/>
          <w:lang w:val="en-US" w:eastAsia="zh-CN"/>
        </w:rPr>
        <w:t>乳化液泵泵体技术规格书</w:t>
      </w:r>
    </w:p>
    <w:p w14:paraId="0F2CD4BC">
      <w:pPr>
        <w:spacing w:line="360" w:lineRule="auto"/>
        <w:ind w:left="-10" w:leftChars="-10" w:hanging="11" w:hangingChars="3"/>
        <w:jc w:val="center"/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  <w:lang w:eastAsia="zh-CN"/>
        </w:rPr>
      </w:pPr>
    </w:p>
    <w:p w14:paraId="5E1A7704">
      <w:pPr>
        <w:spacing w:line="360" w:lineRule="auto"/>
        <w:jc w:val="both"/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  <w:lang w:eastAsia="zh-CN"/>
        </w:rPr>
      </w:pPr>
    </w:p>
    <w:p w14:paraId="0912BABA">
      <w:pPr>
        <w:spacing w:line="360" w:lineRule="auto"/>
        <w:ind w:left="-10" w:leftChars="-10" w:hanging="11" w:hangingChars="3"/>
        <w:jc w:val="center"/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  <w:lang w:eastAsia="zh-CN"/>
        </w:rPr>
      </w:pPr>
    </w:p>
    <w:p w14:paraId="0E90FF95">
      <w:pPr>
        <w:spacing w:line="360" w:lineRule="auto"/>
        <w:ind w:left="-10" w:leftChars="-10" w:hanging="11" w:hangingChars="3"/>
        <w:jc w:val="center"/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  <w:lang w:eastAsia="zh-CN"/>
        </w:rPr>
      </w:pPr>
    </w:p>
    <w:p w14:paraId="57A45A86">
      <w:pPr>
        <w:spacing w:line="360" w:lineRule="auto"/>
        <w:ind w:left="-10" w:leftChars="-10" w:hanging="11" w:hangingChars="3"/>
        <w:jc w:val="center"/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  <w:lang w:eastAsia="zh-CN"/>
        </w:rPr>
      </w:pPr>
    </w:p>
    <w:p w14:paraId="3B15B6FF">
      <w:pPr>
        <w:spacing w:line="360" w:lineRule="auto"/>
        <w:ind w:left="-10" w:leftChars="-10" w:hanging="11" w:hangingChars="3"/>
        <w:jc w:val="center"/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  <w:lang w:eastAsia="zh-CN"/>
        </w:rPr>
      </w:pPr>
    </w:p>
    <w:p w14:paraId="5D1E5ABA">
      <w:pPr>
        <w:spacing w:line="360" w:lineRule="auto"/>
        <w:ind w:left="-10" w:leftChars="-10" w:hanging="11" w:hangingChars="3"/>
        <w:jc w:val="center"/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  <w:lang w:eastAsia="zh-CN"/>
        </w:rPr>
      </w:pPr>
    </w:p>
    <w:p w14:paraId="3F4123D5">
      <w:pPr>
        <w:spacing w:line="360" w:lineRule="auto"/>
        <w:ind w:left="-10" w:leftChars="-10" w:hanging="11" w:hangingChars="3"/>
        <w:jc w:val="center"/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  <w:lang w:val="en-US" w:eastAsia="zh-CN"/>
        </w:rPr>
      </w:pPr>
    </w:p>
    <w:p w14:paraId="1DB666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700" w:lineRule="exact"/>
        <w:ind w:firstLine="843" w:firstLineChars="300"/>
        <w:jc w:val="left"/>
        <w:textAlignment w:val="auto"/>
        <w:outlineLvl w:val="9"/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1"/>
          <w:lang w:eastAsia="zh-CN"/>
        </w:rPr>
        <w:t>编</w:t>
      </w: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1"/>
          <w:lang w:val="en-US" w:eastAsia="zh-CN"/>
        </w:rPr>
        <w:t xml:space="preserve">    </w:t>
      </w: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1"/>
          <w:lang w:eastAsia="zh-CN"/>
        </w:rPr>
        <w:t>制：</w:t>
      </w:r>
    </w:p>
    <w:p w14:paraId="40390F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700" w:lineRule="exact"/>
        <w:ind w:firstLine="843" w:firstLineChars="300"/>
        <w:jc w:val="left"/>
        <w:textAlignment w:val="auto"/>
        <w:outlineLvl w:val="9"/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1"/>
          <w:lang w:eastAsia="zh-CN"/>
        </w:rPr>
        <w:t>审</w:t>
      </w: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1"/>
          <w:lang w:val="en-US" w:eastAsia="zh-CN"/>
        </w:rPr>
        <w:t xml:space="preserve">    </w:t>
      </w: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1"/>
          <w:lang w:eastAsia="zh-CN"/>
        </w:rPr>
        <w:t>核：</w:t>
      </w:r>
    </w:p>
    <w:p w14:paraId="7D0101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700" w:lineRule="exact"/>
        <w:ind w:firstLine="843" w:firstLineChars="300"/>
        <w:jc w:val="left"/>
        <w:textAlignment w:val="auto"/>
        <w:outlineLvl w:val="9"/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1"/>
          <w:lang w:eastAsia="zh-CN"/>
        </w:rPr>
        <w:t>审</w:t>
      </w: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1"/>
          <w:lang w:val="en-US" w:eastAsia="zh-CN"/>
        </w:rPr>
        <w:t xml:space="preserve">    </w:t>
      </w:r>
      <w:r>
        <w:rPr>
          <w:rFonts w:hint="eastAsia" w:cs="Times New Roman"/>
          <w:b/>
          <w:bCs w:val="0"/>
          <w:color w:val="auto"/>
          <w:sz w:val="28"/>
          <w:szCs w:val="21"/>
          <w:lang w:val="en-US" w:eastAsia="zh-CN"/>
        </w:rPr>
        <w:t>批</w:t>
      </w: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1"/>
          <w:lang w:eastAsia="zh-CN"/>
        </w:rPr>
        <w:t>：</w:t>
      </w:r>
    </w:p>
    <w:p w14:paraId="061111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700" w:lineRule="exact"/>
        <w:ind w:firstLine="843" w:firstLineChars="300"/>
        <w:jc w:val="left"/>
        <w:textAlignment w:val="auto"/>
        <w:outlineLvl w:val="9"/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1"/>
          <w:lang w:val="en-US" w:eastAsia="zh-CN"/>
        </w:rPr>
        <w:t>单位（盖章）：</w:t>
      </w:r>
      <w:r>
        <w:rPr>
          <w:rFonts w:hint="eastAsia" w:ascii="Times New Roman" w:hAnsi="Times New Roman" w:eastAsia="宋体" w:cs="Times New Roman"/>
          <w:b w:val="0"/>
          <w:bCs/>
          <w:color w:val="auto"/>
          <w:sz w:val="28"/>
          <w:szCs w:val="21"/>
          <w:lang w:val="en-US" w:eastAsia="zh-CN"/>
        </w:rPr>
        <w:t>永煤煤电控股集团有限公司设备管理分公司</w:t>
      </w:r>
    </w:p>
    <w:p w14:paraId="50B717F1">
      <w:pPr>
        <w:spacing w:line="360" w:lineRule="auto"/>
        <w:ind w:left="-10" w:leftChars="-10" w:hanging="11" w:hangingChars="3"/>
        <w:jc w:val="center"/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  <w:lang w:val="en-US" w:eastAsia="zh-CN"/>
        </w:rPr>
      </w:pPr>
    </w:p>
    <w:p w14:paraId="58A16042">
      <w:pPr>
        <w:spacing w:line="360" w:lineRule="auto"/>
        <w:ind w:left="-10" w:leftChars="-10" w:hanging="11" w:hangingChars="3"/>
        <w:jc w:val="center"/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  <w:lang w:val="en-US" w:eastAsia="zh-CN"/>
        </w:rPr>
      </w:pPr>
    </w:p>
    <w:p w14:paraId="7355FE4A">
      <w:pPr>
        <w:spacing w:line="360" w:lineRule="auto"/>
        <w:ind w:left="-10" w:leftChars="-10" w:hanging="11" w:hangingChars="3"/>
        <w:jc w:val="center"/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  <w:lang w:val="en-US" w:eastAsia="zh-CN"/>
        </w:rPr>
      </w:pPr>
    </w:p>
    <w:p w14:paraId="06619C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700" w:lineRule="exact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1"/>
          <w:lang w:val="en-US" w:eastAsia="zh-CN"/>
        </w:rPr>
        <w:t>日    期：</w:t>
      </w:r>
      <w:r>
        <w:rPr>
          <w:rFonts w:hint="eastAsia" w:ascii="Times New Roman" w:hAnsi="Times New Roman" w:eastAsia="宋体" w:cs="Times New Roman"/>
          <w:b/>
          <w:bCs w:val="0"/>
          <w:color w:val="auto"/>
          <w:sz w:val="28"/>
          <w:szCs w:val="21"/>
          <w:lang w:val="en-US" w:eastAsia="zh-CN"/>
        </w:rPr>
        <w:t>2026年6月3日</w:t>
      </w:r>
    </w:p>
    <w:bookmarkEnd w:id="0"/>
    <w:p w14:paraId="73F233F3">
      <w:pPr>
        <w:autoSpaceDE w:val="0"/>
        <w:autoSpaceDN w:val="0"/>
        <w:adjustRightInd w:val="0"/>
        <w:spacing w:line="360" w:lineRule="auto"/>
        <w:ind w:left="-11" w:leftChars="-10" w:hanging="10" w:hangingChars="3"/>
        <w:jc w:val="center"/>
        <w:rPr>
          <w:rFonts w:hint="default" w:ascii="Times New Roman" w:hAnsi="Times New Roman" w:eastAsia="宋体" w:cs="Times New Roman"/>
          <w:b/>
          <w:bCs/>
          <w:sz w:val="32"/>
          <w:szCs w:val="32"/>
        </w:rPr>
      </w:pPr>
    </w:p>
    <w:p w14:paraId="3ED2C9F5">
      <w:pPr>
        <w:autoSpaceDE w:val="0"/>
        <w:autoSpaceDN w:val="0"/>
        <w:adjustRightInd w:val="0"/>
        <w:spacing w:line="360" w:lineRule="auto"/>
        <w:jc w:val="center"/>
        <w:rPr>
          <w:rFonts w:hint="eastAsia" w:ascii="Times New Roman" w:hAnsi="Times New Roman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32"/>
          <w:szCs w:val="32"/>
          <w:lang w:val="en-US" w:eastAsia="zh-CN"/>
        </w:rPr>
        <w:t>永城煤电控股集团有限公司设备管理分公司</w:t>
      </w:r>
    </w:p>
    <w:p w14:paraId="4EAC3C2A">
      <w:pPr>
        <w:autoSpaceDE w:val="0"/>
        <w:autoSpaceDN w:val="0"/>
        <w:adjustRightInd w:val="0"/>
        <w:spacing w:line="360" w:lineRule="auto"/>
        <w:jc w:val="center"/>
        <w:rPr>
          <w:rFonts w:hint="eastAsia" w:ascii="Times New Roman" w:hAnsi="Times New Roman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32"/>
          <w:szCs w:val="32"/>
          <w:lang w:val="en-US" w:eastAsia="zh-CN"/>
        </w:rPr>
        <w:t>乳化液泵泵体技术规格书</w:t>
      </w:r>
    </w:p>
    <w:p w14:paraId="65F6BD69">
      <w:pPr>
        <w:spacing w:line="360" w:lineRule="auto"/>
        <w:outlineLvl w:val="0"/>
        <w:rPr>
          <w:rFonts w:hint="eastAsia" w:ascii="Times New Roman" w:hAnsi="Times New Roman" w:eastAsia="宋体" w:cs="Times New Roman"/>
          <w:b/>
          <w:sz w:val="24"/>
          <w:lang w:val="zh-CN"/>
        </w:rPr>
      </w:pPr>
      <w:r>
        <w:rPr>
          <w:rFonts w:hint="eastAsia" w:ascii="Times New Roman" w:hAnsi="Times New Roman" w:eastAsia="宋体" w:cs="Times New Roman"/>
          <w:b/>
          <w:sz w:val="24"/>
          <w:lang w:val="en-US" w:eastAsia="zh-CN"/>
        </w:rPr>
        <w:t>一</w:t>
      </w:r>
      <w:r>
        <w:rPr>
          <w:rFonts w:hint="eastAsia" w:ascii="Times New Roman" w:hAnsi="Times New Roman" w:eastAsia="宋体" w:cs="Times New Roman"/>
          <w:b/>
          <w:sz w:val="24"/>
          <w:lang w:val="zh-CN"/>
        </w:rPr>
        <w:t>、项目简介及使用地点</w:t>
      </w:r>
    </w:p>
    <w:p w14:paraId="3A41BA54">
      <w:pPr>
        <w:spacing w:line="360" w:lineRule="auto"/>
        <w:ind w:firstLine="480" w:firstLineChars="200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本次所需乳化液泵泵体共计2种型号，每种型号各1台，分别用于配套BRW500/31.5及BRW500/37.5型乳化液泵。</w:t>
      </w:r>
    </w:p>
    <w:p w14:paraId="02D84BBA">
      <w:pPr>
        <w:spacing w:line="360" w:lineRule="auto"/>
        <w:outlineLvl w:val="0"/>
        <w:rPr>
          <w:rFonts w:hint="eastAsia" w:ascii="Times New Roman" w:hAnsi="Times New Roman" w:eastAsia="宋体" w:cs="Times New Roman"/>
          <w:b/>
          <w:sz w:val="24"/>
          <w:lang w:val="zh-CN"/>
        </w:rPr>
      </w:pPr>
      <w:r>
        <w:rPr>
          <w:rFonts w:hint="eastAsia" w:ascii="Times New Roman" w:hAnsi="Times New Roman" w:eastAsia="宋体" w:cs="Times New Roman"/>
          <w:b/>
          <w:sz w:val="24"/>
          <w:lang w:val="en-US" w:eastAsia="zh-CN"/>
        </w:rPr>
        <w:t>二</w:t>
      </w:r>
      <w:r>
        <w:rPr>
          <w:rFonts w:hint="eastAsia" w:ascii="Times New Roman" w:hAnsi="Times New Roman" w:eastAsia="宋体" w:cs="Times New Roman"/>
          <w:b/>
          <w:sz w:val="24"/>
          <w:lang w:val="zh-CN"/>
        </w:rPr>
        <w:t>、货物名称及供货范围</w:t>
      </w:r>
    </w:p>
    <w:tbl>
      <w:tblPr>
        <w:tblStyle w:val="3"/>
        <w:tblW w:w="85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482"/>
        <w:gridCol w:w="1420"/>
        <w:gridCol w:w="2740"/>
        <w:gridCol w:w="888"/>
        <w:gridCol w:w="1327"/>
      </w:tblGrid>
      <w:tr w14:paraId="48AA5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 w14:paraId="4CF71201"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b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1482" w:type="dxa"/>
          </w:tcPr>
          <w:p w14:paraId="0C4A9F59"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b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sz w:val="18"/>
                <w:szCs w:val="18"/>
              </w:rPr>
              <w:t>名称</w:t>
            </w:r>
          </w:p>
        </w:tc>
        <w:tc>
          <w:tcPr>
            <w:tcW w:w="1420" w:type="dxa"/>
            <w:vAlign w:val="top"/>
          </w:tcPr>
          <w:p w14:paraId="2026CA13"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b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sz w:val="18"/>
                <w:szCs w:val="18"/>
              </w:rPr>
              <w:t>适用泵型</w:t>
            </w:r>
          </w:p>
        </w:tc>
        <w:tc>
          <w:tcPr>
            <w:tcW w:w="2740" w:type="dxa"/>
          </w:tcPr>
          <w:p w14:paraId="79D764B0">
            <w:pPr>
              <w:autoSpaceDN w:val="0"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sz w:val="18"/>
                <w:szCs w:val="18"/>
                <w:lang w:val="en-US" w:eastAsia="zh-CN"/>
              </w:rPr>
              <w:t>主机生产厂家</w:t>
            </w:r>
          </w:p>
        </w:tc>
        <w:tc>
          <w:tcPr>
            <w:tcW w:w="888" w:type="dxa"/>
          </w:tcPr>
          <w:p w14:paraId="580A8853">
            <w:pPr>
              <w:autoSpaceDN w:val="0"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sz w:val="18"/>
                <w:szCs w:val="18"/>
              </w:rPr>
              <w:t>数量</w:t>
            </w:r>
          </w:p>
        </w:tc>
        <w:tc>
          <w:tcPr>
            <w:tcW w:w="1327" w:type="dxa"/>
          </w:tcPr>
          <w:p w14:paraId="0E7CF7E5"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b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sz w:val="18"/>
                <w:szCs w:val="18"/>
              </w:rPr>
              <w:t>备注</w:t>
            </w:r>
          </w:p>
        </w:tc>
      </w:tr>
      <w:tr w14:paraId="15EB5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 w14:paraId="6D7FE68D"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482" w:type="dxa"/>
            <w:vAlign w:val="top"/>
          </w:tcPr>
          <w:p w14:paraId="32600D6C"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  <w:t>乳化液泵泵体</w:t>
            </w:r>
          </w:p>
        </w:tc>
        <w:tc>
          <w:tcPr>
            <w:tcW w:w="1420" w:type="dxa"/>
            <w:vAlign w:val="top"/>
          </w:tcPr>
          <w:p w14:paraId="177AC06F"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  <w:t>BRW500/31.5</w:t>
            </w:r>
          </w:p>
        </w:tc>
        <w:tc>
          <w:tcPr>
            <w:tcW w:w="2740" w:type="dxa"/>
          </w:tcPr>
          <w:p w14:paraId="7E34ED6C"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  <w:t>无锡煤矿机械股份有限公司</w:t>
            </w:r>
          </w:p>
        </w:tc>
        <w:tc>
          <w:tcPr>
            <w:tcW w:w="888" w:type="dxa"/>
          </w:tcPr>
          <w:p w14:paraId="1BEDF206">
            <w:pPr>
              <w:autoSpaceDN w:val="0"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  <w:t>1台</w:t>
            </w:r>
          </w:p>
        </w:tc>
        <w:tc>
          <w:tcPr>
            <w:tcW w:w="1327" w:type="dxa"/>
          </w:tcPr>
          <w:p w14:paraId="369827CF">
            <w:pPr>
              <w:autoSpaceDN w:val="0"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  <w:t>含泵头组件</w:t>
            </w:r>
          </w:p>
        </w:tc>
      </w:tr>
      <w:tr w14:paraId="344DD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 w14:paraId="4D26EBC9"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482" w:type="dxa"/>
            <w:shd w:val="clear" w:color="auto" w:fill="auto"/>
            <w:vAlign w:val="top"/>
          </w:tcPr>
          <w:p w14:paraId="404F213C"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bCs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  <w:t>乳化液泵泵体</w:t>
            </w:r>
          </w:p>
        </w:tc>
        <w:tc>
          <w:tcPr>
            <w:tcW w:w="1420" w:type="dxa"/>
            <w:shd w:val="clear" w:color="auto" w:fill="auto"/>
            <w:vAlign w:val="top"/>
          </w:tcPr>
          <w:p w14:paraId="19545C0F"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bCs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  <w:t>BRW500/37.5</w:t>
            </w:r>
          </w:p>
        </w:tc>
        <w:tc>
          <w:tcPr>
            <w:tcW w:w="2740" w:type="dxa"/>
            <w:shd w:val="clear" w:color="auto" w:fill="auto"/>
            <w:vAlign w:val="top"/>
          </w:tcPr>
          <w:p w14:paraId="04E6E953"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bCs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  <w:t>山东名盾防爆装备科技有限公司</w:t>
            </w:r>
          </w:p>
        </w:tc>
        <w:tc>
          <w:tcPr>
            <w:tcW w:w="888" w:type="dxa"/>
            <w:shd w:val="clear" w:color="auto" w:fill="auto"/>
            <w:vAlign w:val="top"/>
          </w:tcPr>
          <w:p w14:paraId="4E1B64F8"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bCs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  <w:t>1台</w:t>
            </w:r>
          </w:p>
        </w:tc>
        <w:tc>
          <w:tcPr>
            <w:tcW w:w="1327" w:type="dxa"/>
            <w:shd w:val="clear" w:color="auto" w:fill="auto"/>
            <w:vAlign w:val="top"/>
          </w:tcPr>
          <w:p w14:paraId="005F7A6A"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bCs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  <w:t>含泵头组件</w:t>
            </w:r>
          </w:p>
        </w:tc>
      </w:tr>
      <w:tr w14:paraId="708EF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2" w:type="dxa"/>
            <w:gridSpan w:val="6"/>
          </w:tcPr>
          <w:p w14:paraId="50B8770A">
            <w:pPr>
              <w:rPr>
                <w:rFonts w:hint="eastAsia" w:ascii="Times New Roman" w:hAnsi="Times New Roman" w:eastAsia="宋体" w:cs="Times New Roman"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sz w:val="18"/>
                <w:szCs w:val="18"/>
              </w:rPr>
              <w:t xml:space="preserve">注: 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18"/>
                <w:szCs w:val="18"/>
                <w:lang w:val="en-US" w:eastAsia="zh-CN"/>
              </w:rPr>
              <w:t xml:space="preserve">1. 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18"/>
                <w:szCs w:val="18"/>
              </w:rPr>
              <w:t>投标厂家提供的产品必须与本技术规格书所列的泵型完全匹配。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18"/>
                <w:szCs w:val="18"/>
                <w:lang w:val="en-US" w:eastAsia="zh-CN"/>
              </w:rPr>
              <w:t xml:space="preserve">2. 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18"/>
                <w:szCs w:val="18"/>
              </w:rPr>
              <w:t>匹配性要求包含但不限于安装连接尺寸、液压接口参数、性能指标，确保与现有泵体实现完全兼容、协调一致。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18"/>
                <w:szCs w:val="18"/>
                <w:lang w:val="en-US" w:eastAsia="zh-CN"/>
              </w:rPr>
              <w:t>3.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18"/>
                <w:szCs w:val="18"/>
              </w:rPr>
              <w:t>中标后，厂家需提供具体的外形图及连接尺寸图，并确保其设计的合理性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18"/>
                <w:szCs w:val="18"/>
                <w:lang w:eastAsia="zh-CN"/>
              </w:rPr>
              <w:t>。</w:t>
            </w:r>
          </w:p>
        </w:tc>
      </w:tr>
    </w:tbl>
    <w:p w14:paraId="0AE55EEB">
      <w:pPr>
        <w:spacing w:line="360" w:lineRule="auto"/>
        <w:jc w:val="both"/>
        <w:outlineLvl w:val="0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  <w:lang w:val="en-US" w:eastAsia="zh-CN"/>
        </w:rPr>
        <w:t>三</w:t>
      </w:r>
      <w:r>
        <w:rPr>
          <w:rFonts w:hint="eastAsia" w:ascii="Times New Roman" w:hAnsi="Times New Roman" w:eastAsia="宋体" w:cs="Times New Roman"/>
          <w:b/>
          <w:sz w:val="24"/>
        </w:rPr>
        <w:t>、主要技术参数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7"/>
        <w:gridCol w:w="6125"/>
      </w:tblGrid>
      <w:tr w14:paraId="0A101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7" w:type="dxa"/>
          </w:tcPr>
          <w:p w14:paraId="0FAA5326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/>
                <w:bCs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szCs w:val="21"/>
              </w:rPr>
              <w:t>项目</w:t>
            </w:r>
          </w:p>
        </w:tc>
        <w:tc>
          <w:tcPr>
            <w:tcW w:w="6125" w:type="dxa"/>
          </w:tcPr>
          <w:p w14:paraId="6168A013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/>
                <w:bCs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szCs w:val="21"/>
              </w:rPr>
              <w:t>参数要求</w:t>
            </w:r>
          </w:p>
        </w:tc>
      </w:tr>
      <w:tr w14:paraId="2F161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7" w:type="dxa"/>
          </w:tcPr>
          <w:p w14:paraId="245FFD88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额定压力</w:t>
            </w:r>
          </w:p>
        </w:tc>
        <w:tc>
          <w:tcPr>
            <w:tcW w:w="6125" w:type="dxa"/>
          </w:tcPr>
          <w:p w14:paraId="199F7B36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31.5MPa / 37.5MPa（根据泵型）</w:t>
            </w:r>
          </w:p>
        </w:tc>
      </w:tr>
      <w:tr w14:paraId="56F1A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7" w:type="dxa"/>
          </w:tcPr>
          <w:p w14:paraId="44743F43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额定流量</w:t>
            </w:r>
          </w:p>
        </w:tc>
        <w:tc>
          <w:tcPr>
            <w:tcW w:w="6125" w:type="dxa"/>
          </w:tcPr>
          <w:p w14:paraId="5403743A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500L/min</w:t>
            </w:r>
          </w:p>
        </w:tc>
      </w:tr>
      <w:tr w14:paraId="2D344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7" w:type="dxa"/>
          </w:tcPr>
          <w:p w14:paraId="282C8504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容积效率</w:t>
            </w:r>
          </w:p>
        </w:tc>
        <w:tc>
          <w:tcPr>
            <w:tcW w:w="6125" w:type="dxa"/>
          </w:tcPr>
          <w:p w14:paraId="0656156D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≥92%</w:t>
            </w:r>
          </w:p>
        </w:tc>
      </w:tr>
      <w:tr w14:paraId="4C7C2B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7" w:type="dxa"/>
          </w:tcPr>
          <w:p w14:paraId="3BE65AA7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工作介质</w:t>
            </w:r>
          </w:p>
        </w:tc>
        <w:tc>
          <w:tcPr>
            <w:tcW w:w="6125" w:type="dxa"/>
          </w:tcPr>
          <w:p w14:paraId="4A716302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乳化液（浓度3%~5%）</w:t>
            </w:r>
          </w:p>
        </w:tc>
      </w:tr>
      <w:tr w14:paraId="735E1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7" w:type="dxa"/>
          </w:tcPr>
          <w:p w14:paraId="6006C72F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工作温度</w:t>
            </w:r>
          </w:p>
        </w:tc>
        <w:tc>
          <w:tcPr>
            <w:tcW w:w="6125" w:type="dxa"/>
          </w:tcPr>
          <w:p w14:paraId="1F515808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10℃ ~ 60℃</w:t>
            </w:r>
          </w:p>
        </w:tc>
      </w:tr>
      <w:tr w14:paraId="78BE7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7" w:type="dxa"/>
          </w:tcPr>
          <w:p w14:paraId="6235FEC1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材质要求</w:t>
            </w:r>
          </w:p>
        </w:tc>
        <w:tc>
          <w:tcPr>
            <w:tcW w:w="6125" w:type="dxa"/>
          </w:tcPr>
          <w:p w14:paraId="6875A2BA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泵头体采用高强度合金钢，锻造成型</w:t>
            </w:r>
          </w:p>
        </w:tc>
      </w:tr>
      <w:tr w14:paraId="785D7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7" w:type="dxa"/>
          </w:tcPr>
          <w:p w14:paraId="700EBCEE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热处理要求</w:t>
            </w:r>
          </w:p>
        </w:tc>
        <w:tc>
          <w:tcPr>
            <w:tcW w:w="6125" w:type="dxa"/>
          </w:tcPr>
          <w:p w14:paraId="7E7B762E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调质处理，硬度≥HB250</w:t>
            </w:r>
          </w:p>
        </w:tc>
      </w:tr>
      <w:tr w14:paraId="79173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7" w:type="dxa"/>
          </w:tcPr>
          <w:p w14:paraId="000161C1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密封形式</w:t>
            </w:r>
          </w:p>
        </w:tc>
        <w:tc>
          <w:tcPr>
            <w:tcW w:w="6125" w:type="dxa"/>
          </w:tcPr>
          <w:p w14:paraId="48C05C2B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进口组合密封，耐压≥1.5倍额定压力</w:t>
            </w:r>
          </w:p>
        </w:tc>
      </w:tr>
      <w:tr w14:paraId="6C262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7" w:type="dxa"/>
          </w:tcPr>
          <w:p w14:paraId="54DB6078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连接方式</w:t>
            </w:r>
          </w:p>
        </w:tc>
        <w:tc>
          <w:tcPr>
            <w:tcW w:w="6125" w:type="dxa"/>
          </w:tcPr>
          <w:p w14:paraId="01083744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与泵体法兰连接，螺栓强度等级不低于10.9</w:t>
            </w:r>
          </w:p>
        </w:tc>
      </w:tr>
      <w:tr w14:paraId="69B61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7" w:type="dxa"/>
          </w:tcPr>
          <w:p w14:paraId="17CA3F57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防护处理</w:t>
            </w:r>
          </w:p>
        </w:tc>
        <w:tc>
          <w:tcPr>
            <w:tcW w:w="6125" w:type="dxa"/>
          </w:tcPr>
          <w:p w14:paraId="78204127">
            <w:pPr>
              <w:spacing w:line="400" w:lineRule="exact"/>
              <w:jc w:val="center"/>
              <w:outlineLvl w:val="0"/>
              <w:rPr>
                <w:rFonts w:hint="eastAsia" w:ascii="Times New Roman" w:hAnsi="Times New Roman" w:eastAsia="宋体" w:cs="Times New Roman"/>
                <w:bCs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</w:rPr>
              <w:t>内外表面防锈处理，外部涂装耐腐蚀漆</w:t>
            </w:r>
          </w:p>
        </w:tc>
      </w:tr>
    </w:tbl>
    <w:p w14:paraId="40A22950">
      <w:pPr>
        <w:spacing w:line="360" w:lineRule="auto"/>
        <w:jc w:val="both"/>
        <w:outlineLvl w:val="0"/>
        <w:rPr>
          <w:rFonts w:hint="eastAsia" w:ascii="Times New Roman" w:hAnsi="Times New Roman" w:eastAsia="宋体" w:cs="Times New Roman"/>
          <w:b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4"/>
          <w:lang w:val="en-US" w:eastAsia="zh-CN"/>
        </w:rPr>
        <w:t>四、 主要部件与技术规范</w:t>
      </w:r>
    </w:p>
    <w:p w14:paraId="15DB5B5D">
      <w:pPr>
        <w:spacing w:line="360" w:lineRule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1. 基本要求</w:t>
      </w:r>
    </w:p>
    <w:p w14:paraId="3FB805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（1）匹配性：泵头的连接尺寸、液压接口、密封定位面等必须与在用泵体完全匹配。</w:t>
      </w:r>
    </w:p>
    <w:p w14:paraId="525BE5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（2）资质：投标人乳化液泵必须具备有效的矿用产品安全标志证书（MA）。</w:t>
      </w:r>
    </w:p>
    <w:p w14:paraId="2E057919">
      <w:pPr>
        <w:spacing w:line="360" w:lineRule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2. 设计与制造要求</w:t>
      </w:r>
    </w:p>
    <w:p w14:paraId="5026F5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（1）结构工艺：泵头体采用整体锻造工艺，确保承压部件的组织致密性与安全性。</w:t>
      </w:r>
    </w:p>
    <w:p w14:paraId="5648A9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（2）阀组设计：进出液阀组可采用锥面密封或高性能平面密封结构，密封材料必须具备优异的耐乳化液腐蚀性能。</w:t>
      </w:r>
    </w:p>
    <w:p w14:paraId="1FA074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（3）密封寿命：柱塞密封采用进口优质组合密封件，在井下正常工况下，使用寿命不低于3000小时。</w:t>
      </w:r>
    </w:p>
    <w:p w14:paraId="7EF14E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（4）流道设计：泵头内部高低压液流通道应光滑过渡，无锐角、无毛刺、无铸造缺陷，以最大限度减少压力损失和液流冲击。</w:t>
      </w:r>
    </w:p>
    <w:p w14:paraId="48EA83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（5）接口：接口尺寸及连接形式需符合GB/T 2353标准要求。</w:t>
      </w:r>
    </w:p>
    <w:p w14:paraId="1C9A9A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（6）压力试验：所有承压零部件加工完成后，必须进行液压强度试验，试验压力为1.5倍额定压力，保压时间不少于5分钟，不得有渗漏及永久变形。</w:t>
      </w:r>
    </w:p>
    <w:p w14:paraId="341218DC">
      <w:pPr>
        <w:spacing w:line="360" w:lineRule="auto"/>
        <w:outlineLvl w:val="0"/>
        <w:rPr>
          <w:rFonts w:hint="eastAsia" w:ascii="Times New Roman" w:hAnsi="Times New Roman" w:eastAsia="宋体" w:cs="Times New Roman"/>
          <w:b/>
          <w:bCs w:val="0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 w:val="0"/>
          <w:sz w:val="24"/>
          <w:lang w:val="en-US" w:eastAsia="zh-CN"/>
        </w:rPr>
        <w:t>五、适用标准</w:t>
      </w:r>
    </w:p>
    <w:p w14:paraId="0B4186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1. 《煤矿安全规程》（最新版）</w:t>
      </w:r>
    </w:p>
    <w:p w14:paraId="056E62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2. GB/T 2353-2005 液压泵及马达安装法兰和轴伸尺寸系列</w:t>
      </w:r>
    </w:p>
    <w:p w14:paraId="0DFDC8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3. GB/T 2878-2023 液压传动 连接螺纹</w:t>
      </w:r>
    </w:p>
    <w:p w14:paraId="2B7E30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4. MT/T 188.2-2000 煤矿用乳化液泵站</w:t>
      </w:r>
    </w:p>
    <w:p w14:paraId="54C513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5. GB/T 13306-2011 标牌</w:t>
      </w:r>
    </w:p>
    <w:p w14:paraId="00917D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6. GB/T 9439-2010 灰铸铁件</w:t>
      </w:r>
    </w:p>
    <w:p w14:paraId="50685AAF">
      <w:pPr>
        <w:spacing w:line="360" w:lineRule="auto"/>
        <w:outlineLvl w:val="0"/>
        <w:rPr>
          <w:rFonts w:hint="eastAsia" w:ascii="Times New Roman" w:hAnsi="Times New Roman" w:eastAsia="宋体" w:cs="Times New Roman"/>
          <w:b/>
          <w:bCs w:val="0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 w:val="0"/>
          <w:sz w:val="24"/>
          <w:lang w:val="en-US" w:eastAsia="zh-CN"/>
        </w:rPr>
        <w:t>六、质量及验收要求</w:t>
      </w:r>
    </w:p>
    <w:p w14:paraId="742E45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1.出厂检验：产品出厂前必须完成压力试验、密封试验及性能试验，并附带正式检测报告。</w:t>
      </w:r>
    </w:p>
    <w:p w14:paraId="116566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2. 到货验收：货物到达指定地点后，由使用单位依据本规格书及国家标准进行验收。验收内容包括外观检查、尺寸复核、资料核对等。</w:t>
      </w:r>
    </w:p>
    <w:p w14:paraId="7D98CE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3. 验收判定：验收合格后方可办理入库及投入使用手续。若发现与规格书要求不符，供应商需负责整改或换货。</w:t>
      </w:r>
    </w:p>
    <w:p w14:paraId="161D2ECE">
      <w:pPr>
        <w:spacing w:line="360" w:lineRule="auto"/>
        <w:outlineLvl w:val="0"/>
        <w:rPr>
          <w:rFonts w:hint="eastAsia" w:ascii="Times New Roman" w:hAnsi="Times New Roman" w:eastAsia="宋体" w:cs="Times New Roman"/>
          <w:b/>
          <w:bCs w:val="0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 w:val="0"/>
          <w:sz w:val="24"/>
          <w:lang w:val="en-US" w:eastAsia="zh-CN"/>
        </w:rPr>
        <w:t>七、服务与质保</w:t>
      </w:r>
    </w:p>
    <w:p w14:paraId="6B4F46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1. 质保期限：自产品投入使用之日起12个月，或自到货之日起18个月（以先到达的日期为准）。</w:t>
      </w:r>
    </w:p>
    <w:p w14:paraId="7C271E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2. 售后响应：质保期内出现质量问题，厂家承诺在收到通知后24小时内响应，并派员抵达现场处理。</w:t>
      </w:r>
    </w:p>
    <w:p w14:paraId="2DCFA80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技术服务：免费提供泵头的安装指导、调试支持及现场维护技术培训。</w:t>
      </w:r>
    </w:p>
    <w:p w14:paraId="06A766C9">
      <w:pPr>
        <w:spacing w:line="360" w:lineRule="auto"/>
        <w:outlineLvl w:val="0"/>
        <w:rPr>
          <w:rFonts w:hint="eastAsia" w:ascii="Times New Roman" w:hAnsi="Times New Roman" w:eastAsia="宋体" w:cs="Times New Roman"/>
          <w:b/>
          <w:bCs w:val="0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 w:val="0"/>
          <w:sz w:val="24"/>
          <w:lang w:val="en-US" w:eastAsia="zh-CN"/>
        </w:rPr>
        <w:t>八、</w:t>
      </w:r>
      <w:r>
        <w:rPr>
          <w:rFonts w:hint="default" w:ascii="Times New Roman" w:hAnsi="Times New Roman" w:eastAsia="宋体" w:cs="Times New Roman"/>
          <w:b/>
          <w:bCs w:val="0"/>
          <w:sz w:val="24"/>
          <w:lang w:val="zh-CN" w:eastAsia="zh-CN"/>
        </w:rPr>
        <w:t>技术资料要求</w:t>
      </w:r>
    </w:p>
    <w:p w14:paraId="26313D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1. 提供泵头技术参数表、安装接口图。</w:t>
      </w:r>
    </w:p>
    <w:p w14:paraId="761860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2. 提供产品使用说明书、合格证、MA证等随机资料。</w:t>
      </w:r>
    </w:p>
    <w:p w14:paraId="5B43E3EE">
      <w:pPr>
        <w:spacing w:line="360" w:lineRule="auto"/>
        <w:outlineLvl w:val="0"/>
        <w:rPr>
          <w:rFonts w:hint="eastAsia" w:ascii="Times New Roman" w:hAnsi="Times New Roman" w:eastAsia="宋体" w:cs="Times New Roman"/>
          <w:b/>
          <w:bCs w:val="0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 w:val="0"/>
          <w:sz w:val="24"/>
          <w:lang w:val="en-US" w:eastAsia="zh-CN"/>
        </w:rPr>
        <w:t>九、其他</w:t>
      </w:r>
    </w:p>
    <w:p w14:paraId="1FF046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1. 交货期：合同签订后30天内免费送达指定地点。</w:t>
      </w:r>
    </w:p>
    <w:p w14:paraId="1FD16F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lang w:val="en-US" w:eastAsia="zh-CN"/>
        </w:rPr>
        <w:t>2. 供应商必须保证所供泵头与在用整机完全匹配。如因接口尺寸、配合精度等问题导致无法安装或运行故障，供应商负责无偿更换合格产品，并承担由此造成的相应损失。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C25D6A"/>
    <w:multiLevelType w:val="singleLevel"/>
    <w:tmpl w:val="6CC25D6A"/>
    <w:lvl w:ilvl="0" w:tentative="0">
      <w:start w:val="3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BE25B6"/>
    <w:rsid w:val="2DBC0566"/>
    <w:rsid w:val="32D75DF9"/>
    <w:rsid w:val="41B37704"/>
    <w:rsid w:val="46C14150"/>
    <w:rsid w:val="4BAD5E92"/>
    <w:rsid w:val="4DD0543A"/>
    <w:rsid w:val="507726D5"/>
    <w:rsid w:val="51EB6A7D"/>
    <w:rsid w:val="5A284778"/>
    <w:rsid w:val="6D02061A"/>
    <w:rsid w:val="70A34E0C"/>
    <w:rsid w:val="7FFE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1388</Words>
  <Characters>1562</Characters>
  <Lines>0</Lines>
  <Paragraphs>0</Paragraphs>
  <TotalTime>1018</TotalTime>
  <ScaleCrop>false</ScaleCrop>
  <LinksUpToDate>false</LinksUpToDate>
  <CharactersWithSpaces>1615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2025-10-27T07:05:00Z</dcterms:created>
  <dc:creator>Administrator</dc:creator>
  <cp:lastModifiedBy>无痕</cp:lastModifiedBy>
  <cp:lastPrinted>2026-06-03T08:25:58Z</cp:lastPrinted>
  <dcterms:modified xsi:type="dcterms:W3CDTF">2026-06-04T08:50:05Z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eyJoZGlkIjoiZGE0Yjg1ZGRjOGI3MTcyY2VkY2U4MGExYjMwZWEwNTMiLCJ1c2VySWQiOiIyOTE2NDcyOTYifQ==</vt:lpwstr>
  </property>
  <property fmtid="{D5CDD505-2E9C-101B-9397-08002B2CF9AE}" pid="4" name="ICV">
    <vt:lpwstr>281AC3CF36924B76903175159A6C6937_13</vt:lpwstr>
  </property>
</Properties>
</file>