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D11583">
      <w:pPr>
        <w:jc w:val="center"/>
        <w:rPr>
          <w:rFonts w:ascii="宋体" w:hAnsi="宋体" w:eastAsia="宋体" w:cs="Times New Roman"/>
          <w:b/>
          <w:bCs/>
          <w:sz w:val="44"/>
          <w:szCs w:val="44"/>
        </w:rPr>
      </w:pPr>
      <w:r>
        <w:rPr>
          <w:rFonts w:hint="eastAsia" w:ascii="宋体" w:hAnsi="宋体"/>
          <w:b/>
          <w:bCs/>
          <w:sz w:val="44"/>
          <w:szCs w:val="44"/>
        </w:rPr>
        <w:t>永城煤电集团聚龙物流贸易有限公司</w:t>
      </w:r>
      <w:bookmarkStart w:id="0" w:name="_GoBack"/>
      <w:bookmarkEnd w:id="0"/>
    </w:p>
    <w:p w14:paraId="6E2AB472">
      <w:pPr>
        <w:jc w:val="center"/>
        <w:rPr>
          <w:rFonts w:ascii="宋体" w:eastAsia="宋体" w:cs="Times New Roman"/>
          <w:b/>
          <w:bCs/>
          <w:sz w:val="30"/>
          <w:szCs w:val="30"/>
        </w:rPr>
      </w:pPr>
    </w:p>
    <w:p w14:paraId="6DF8BFA1">
      <w:pPr>
        <w:jc w:val="center"/>
        <w:rPr>
          <w:rFonts w:ascii="宋体" w:eastAsia="宋体" w:cs="Times New Roman"/>
          <w:b/>
          <w:bCs/>
          <w:sz w:val="32"/>
          <w:szCs w:val="32"/>
        </w:rPr>
      </w:pPr>
      <w:r>
        <w:rPr>
          <w:rFonts w:hint="eastAsia" w:ascii="宋体" w:hAnsi="宋体"/>
          <w:b/>
          <w:bCs/>
          <w:sz w:val="32"/>
          <w:szCs w:val="32"/>
        </w:rPr>
        <w:t>（新能源货运重卡租赁合同书）</w:t>
      </w:r>
    </w:p>
    <w:p w14:paraId="19FE9E7F">
      <w:pPr>
        <w:jc w:val="center"/>
        <w:rPr>
          <w:rFonts w:ascii="宋体" w:eastAsia="宋体" w:cs="Times New Roman"/>
          <w:b/>
          <w:bCs/>
          <w:sz w:val="30"/>
          <w:szCs w:val="30"/>
        </w:rPr>
      </w:pPr>
    </w:p>
    <w:p w14:paraId="38C55D15">
      <w:pPr>
        <w:jc w:val="center"/>
        <w:rPr>
          <w:rFonts w:ascii="宋体" w:eastAsia="宋体" w:cs="Times New Roman"/>
          <w:b/>
          <w:bCs/>
          <w:sz w:val="32"/>
          <w:szCs w:val="32"/>
        </w:rPr>
      </w:pPr>
      <w:r>
        <w:rPr>
          <w:rFonts w:hint="eastAsia" w:ascii="宋体" w:hAnsi="宋体"/>
          <w:b/>
          <w:bCs/>
          <w:sz w:val="32"/>
          <w:szCs w:val="32"/>
        </w:rPr>
        <w:t>合同编号：</w:t>
      </w:r>
    </w:p>
    <w:p w14:paraId="79CFA6C7">
      <w:pPr>
        <w:jc w:val="center"/>
        <w:rPr>
          <w:rFonts w:ascii="宋体" w:eastAsia="宋体" w:cs="Times New Roman"/>
          <w:b/>
          <w:bCs/>
          <w:sz w:val="36"/>
          <w:szCs w:val="36"/>
        </w:rPr>
      </w:pPr>
    </w:p>
    <w:p w14:paraId="7BE4EDDA">
      <w:pPr>
        <w:jc w:val="center"/>
        <w:rPr>
          <w:rFonts w:ascii="宋体" w:eastAsia="宋体" w:cs="Times New Roman"/>
          <w:b/>
          <w:bCs/>
          <w:sz w:val="36"/>
          <w:szCs w:val="36"/>
        </w:rPr>
      </w:pPr>
    </w:p>
    <w:p w14:paraId="3A705EC2">
      <w:pPr>
        <w:jc w:val="center"/>
        <w:rPr>
          <w:rFonts w:ascii="宋体" w:eastAsia="宋体" w:cs="Times New Roman"/>
          <w:b/>
          <w:bCs/>
          <w:sz w:val="36"/>
          <w:szCs w:val="36"/>
        </w:rPr>
      </w:pPr>
    </w:p>
    <w:p w14:paraId="11B01E63">
      <w:pPr>
        <w:jc w:val="center"/>
        <w:rPr>
          <w:rFonts w:ascii="宋体" w:eastAsia="宋体" w:cs="Times New Roman"/>
          <w:b/>
          <w:bCs/>
          <w:sz w:val="36"/>
          <w:szCs w:val="36"/>
        </w:rPr>
      </w:pPr>
    </w:p>
    <w:p w14:paraId="3F7CB026">
      <w:pPr>
        <w:jc w:val="center"/>
        <w:rPr>
          <w:rFonts w:ascii="宋体" w:eastAsia="宋体" w:cs="Times New Roman"/>
          <w:b/>
          <w:bCs/>
          <w:sz w:val="36"/>
          <w:szCs w:val="36"/>
        </w:rPr>
      </w:pPr>
    </w:p>
    <w:p w14:paraId="20788598">
      <w:pPr>
        <w:jc w:val="center"/>
        <w:rPr>
          <w:rFonts w:ascii="宋体" w:eastAsia="宋体" w:cs="Times New Roman"/>
          <w:b/>
          <w:bCs/>
          <w:sz w:val="36"/>
          <w:szCs w:val="36"/>
        </w:rPr>
      </w:pPr>
    </w:p>
    <w:p w14:paraId="55377592">
      <w:pPr>
        <w:jc w:val="center"/>
        <w:rPr>
          <w:rFonts w:ascii="宋体" w:eastAsia="宋体" w:cs="Times New Roman"/>
          <w:b/>
          <w:bCs/>
          <w:sz w:val="36"/>
          <w:szCs w:val="36"/>
        </w:rPr>
      </w:pPr>
    </w:p>
    <w:p w14:paraId="193E87E9">
      <w:pPr>
        <w:jc w:val="center"/>
        <w:rPr>
          <w:rFonts w:ascii="宋体" w:eastAsia="宋体" w:cs="Times New Roman"/>
          <w:b/>
          <w:bCs/>
          <w:sz w:val="36"/>
          <w:szCs w:val="36"/>
        </w:rPr>
      </w:pPr>
    </w:p>
    <w:p w14:paraId="000AD507">
      <w:pPr>
        <w:pStyle w:val="2"/>
        <w:spacing w:after="0"/>
        <w:rPr>
          <w:rFonts w:ascii="仿宋_GB2312" w:hAnsi="宋体" w:eastAsia="仿宋_GB2312" w:cs="Times New Roman"/>
          <w:b/>
          <w:bCs/>
          <w:sz w:val="32"/>
          <w:szCs w:val="32"/>
        </w:rPr>
      </w:pPr>
      <w:r>
        <w:rPr>
          <w:rFonts w:hint="eastAsia" w:ascii="仿宋_GB2312" w:hAnsi="宋体" w:eastAsia="仿宋_GB2312" w:cs="仿宋_GB2312"/>
          <w:b/>
          <w:bCs/>
          <w:sz w:val="32"/>
          <w:szCs w:val="32"/>
        </w:rPr>
        <w:t>甲方</w:t>
      </w:r>
      <w:r>
        <w:rPr>
          <w:rFonts w:hint="eastAsia" w:ascii="仿宋_GB2312" w:hAnsi="宋体" w:eastAsia="仿宋_GB2312" w:cs="仿宋_GB2312"/>
          <w:b/>
          <w:bCs/>
          <w:sz w:val="32"/>
          <w:szCs w:val="32"/>
          <w:lang w:eastAsia="zh-CN"/>
        </w:rPr>
        <w:t>（出租方）</w:t>
      </w:r>
      <w:r>
        <w:rPr>
          <w:rFonts w:hint="eastAsia" w:ascii="仿宋_GB2312" w:hAnsi="宋体" w:eastAsia="仿宋_GB2312" w:cs="仿宋_GB2312"/>
          <w:b/>
          <w:bCs/>
          <w:sz w:val="32"/>
          <w:szCs w:val="32"/>
        </w:rPr>
        <w:t>：永城煤电集团聚龙物流贸易有限公司</w:t>
      </w:r>
    </w:p>
    <w:p w14:paraId="1515EF1F">
      <w:pPr>
        <w:pStyle w:val="2"/>
        <w:spacing w:after="0"/>
        <w:rPr>
          <w:rFonts w:ascii="仿宋_GB2312" w:hAnsi="宋体" w:eastAsia="仿宋_GB2312" w:cs="Times New Roman"/>
          <w:b/>
          <w:bCs/>
          <w:sz w:val="32"/>
          <w:szCs w:val="32"/>
        </w:rPr>
      </w:pPr>
      <w:r>
        <w:rPr>
          <w:rFonts w:hint="eastAsia" w:ascii="仿宋_GB2312" w:hAnsi="宋体" w:eastAsia="仿宋_GB2312" w:cs="仿宋_GB2312"/>
          <w:b/>
          <w:bCs/>
          <w:sz w:val="32"/>
          <w:szCs w:val="32"/>
        </w:rPr>
        <w:t>乙方</w:t>
      </w:r>
      <w:r>
        <w:rPr>
          <w:rFonts w:hint="eastAsia" w:ascii="仿宋_GB2312" w:hAnsi="宋体" w:eastAsia="仿宋_GB2312" w:cs="仿宋_GB2312"/>
          <w:b/>
          <w:bCs/>
          <w:sz w:val="32"/>
          <w:szCs w:val="32"/>
          <w:lang w:eastAsia="zh-CN"/>
        </w:rPr>
        <w:t>（承租方）</w:t>
      </w:r>
      <w:r>
        <w:rPr>
          <w:rFonts w:hint="eastAsia" w:ascii="仿宋_GB2312" w:hAnsi="宋体" w:eastAsia="仿宋_GB2312" w:cs="仿宋_GB2312"/>
          <w:b/>
          <w:bCs/>
          <w:sz w:val="32"/>
          <w:szCs w:val="32"/>
        </w:rPr>
        <w:t>：</w:t>
      </w:r>
    </w:p>
    <w:p w14:paraId="17609E14">
      <w:pPr>
        <w:spacing w:beforeLines="75"/>
        <w:ind w:firstLine="3213" w:firstLineChars="1000"/>
        <w:rPr>
          <w:rFonts w:hint="eastAsia" w:ascii="仿宋_GB2312" w:hAnsi="宋体" w:eastAsia="仿宋_GB2312" w:cs="仿宋_GB2312"/>
          <w:b/>
          <w:bCs/>
          <w:kern w:val="2"/>
          <w:sz w:val="32"/>
          <w:szCs w:val="32"/>
          <w:lang w:val="en-US" w:eastAsia="zh-CN" w:bidi="ar-SA"/>
        </w:rPr>
      </w:pPr>
      <w:r>
        <w:rPr>
          <w:rFonts w:hint="eastAsia" w:ascii="仿宋_GB2312" w:hAnsi="宋体" w:eastAsia="仿宋_GB2312" w:cs="仿宋_GB2312"/>
          <w:b/>
          <w:bCs/>
          <w:kern w:val="2"/>
          <w:sz w:val="32"/>
          <w:szCs w:val="32"/>
          <w:lang w:val="en-US" w:eastAsia="zh-CN" w:bidi="ar-SA"/>
        </w:rPr>
        <w:t>签订地点：  河南省永城市</w:t>
      </w:r>
    </w:p>
    <w:p w14:paraId="2D16281B">
      <w:pPr>
        <w:spacing w:afterLines="50"/>
        <w:ind w:firstLine="3213" w:firstLineChars="1000"/>
        <w:rPr>
          <w:rFonts w:hint="eastAsia" w:ascii="仿宋_GB2312" w:hAnsi="宋体" w:eastAsia="仿宋_GB2312" w:cs="仿宋_GB2312"/>
          <w:b/>
          <w:bCs/>
          <w:kern w:val="2"/>
          <w:sz w:val="32"/>
          <w:szCs w:val="32"/>
          <w:lang w:val="en-US" w:eastAsia="zh-CN" w:bidi="ar-SA"/>
        </w:rPr>
      </w:pPr>
      <w:r>
        <w:rPr>
          <w:rFonts w:hint="eastAsia" w:ascii="仿宋_GB2312" w:hAnsi="宋体" w:eastAsia="仿宋_GB2312" w:cs="仿宋_GB2312"/>
          <w:b/>
          <w:bCs/>
          <w:kern w:val="2"/>
          <w:sz w:val="32"/>
          <w:szCs w:val="32"/>
          <w:lang w:val="en-US" w:eastAsia="zh-CN" w:bidi="ar-SA"/>
        </w:rPr>
        <w:t>签订时间：    年   月   日</w:t>
      </w:r>
    </w:p>
    <w:p w14:paraId="03E84A1E">
      <w:pPr>
        <w:spacing w:line="530" w:lineRule="exact"/>
        <w:ind w:firstLine="560" w:firstLineChars="200"/>
        <w:rPr>
          <w:rFonts w:hint="eastAsia" w:ascii="仿宋_GB2312" w:hAnsi="仿宋_GB2312" w:eastAsia="仿宋_GB2312" w:cs="仿宋_GB2312"/>
          <w:sz w:val="28"/>
          <w:szCs w:val="28"/>
        </w:rPr>
      </w:pPr>
    </w:p>
    <w:p w14:paraId="76DEEB2D">
      <w:pPr>
        <w:spacing w:line="530" w:lineRule="exact"/>
        <w:ind w:firstLine="560" w:firstLineChars="200"/>
        <w:rPr>
          <w:rFonts w:hint="eastAsia" w:ascii="仿宋_GB2312" w:hAnsi="仿宋_GB2312" w:eastAsia="仿宋_GB2312" w:cs="仿宋_GB2312"/>
          <w:sz w:val="28"/>
          <w:szCs w:val="28"/>
        </w:rPr>
      </w:pPr>
    </w:p>
    <w:p w14:paraId="2B88F0C9">
      <w:pPr>
        <w:spacing w:line="360" w:lineRule="auto"/>
        <w:jc w:val="center"/>
        <w:rPr>
          <w:rFonts w:hint="eastAsia" w:ascii="黑体" w:eastAsia="黑体"/>
          <w:sz w:val="48"/>
          <w:szCs w:val="48"/>
        </w:rPr>
      </w:pPr>
    </w:p>
    <w:p w14:paraId="3578FFE4">
      <w:pPr>
        <w:spacing w:line="360" w:lineRule="auto"/>
        <w:rPr>
          <w:rFonts w:hint="eastAsia"/>
          <w:sz w:val="24"/>
        </w:rPr>
      </w:pPr>
    </w:p>
    <w:p w14:paraId="27190909">
      <w:pPr>
        <w:spacing w:line="360" w:lineRule="auto"/>
        <w:rPr>
          <w:rFonts w:hint="eastAsia"/>
          <w:sz w:val="24"/>
        </w:rPr>
      </w:pPr>
    </w:p>
    <w:p w14:paraId="304351DD">
      <w:pPr>
        <w:spacing w:line="360" w:lineRule="auto"/>
        <w:rPr>
          <w:rFonts w:hint="eastAsia"/>
          <w:sz w:val="28"/>
          <w:szCs w:val="28"/>
        </w:rPr>
      </w:pPr>
    </w:p>
    <w:p w14:paraId="5D1B7E5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永</w:t>
      </w:r>
      <w:r>
        <w:rPr>
          <w:rFonts w:hint="eastAsia" w:ascii="仿宋_GB2312" w:hAnsi="仿宋_GB2312" w:eastAsia="仿宋_GB2312" w:cs="仿宋_GB2312"/>
          <w:sz w:val="32"/>
          <w:szCs w:val="32"/>
        </w:rPr>
        <w:t>城煤电集团聚龙物流贸易有限公司（以下简称“甲方”）与</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w:t>
      </w:r>
      <w:r>
        <w:rPr>
          <w:rFonts w:hint="eastAsia" w:ascii="仿宋_GB2312" w:hAnsi="仿宋_GB2312" w:eastAsia="仿宋_GB2312" w:cs="仿宋_GB2312"/>
          <w:sz w:val="32"/>
          <w:szCs w:val="32"/>
        </w:rPr>
        <w:t>以下简称“乙方”）依照《中华人民共和国民法典》及有关法律法规，就乙方</w:t>
      </w:r>
      <w:r>
        <w:rPr>
          <w:rFonts w:hint="eastAsia" w:ascii="仿宋_GB2312" w:hAnsi="仿宋_GB2312" w:eastAsia="仿宋_GB2312" w:cs="仿宋_GB2312"/>
          <w:sz w:val="32"/>
          <w:szCs w:val="32"/>
          <w:lang w:eastAsia="zh-CN"/>
        </w:rPr>
        <w:t>承租甲方新能源重卡事项达成如下协议：</w:t>
      </w:r>
    </w:p>
    <w:p w14:paraId="472C3BD6">
      <w:pPr>
        <w:ind w:firstLine="640" w:firstLineChars="200"/>
        <w:jc w:val="lef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一、租赁标的（以下简称“承租车辆）</w:t>
      </w:r>
    </w:p>
    <w:p w14:paraId="03242A1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甲方拥有的6台套徐工新能源电动重卡为全新车辆，租赁给乙方使用，规格型号及号牌如下：</w:t>
      </w:r>
    </w:p>
    <w:p w14:paraId="709CEAC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1、规格型号：</w:t>
      </w:r>
    </w:p>
    <w:p w14:paraId="7A44924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①车头（电动牵引车，品牌型号：徐工牌XGA4257BEVWC2）驱动电机额定功率：335kW、驱动电机峰值功率：520kW、动力电池电量kwh：400.66 、最大总质量/kg：49000。</w:t>
      </w:r>
    </w:p>
    <w:p w14:paraId="3AD484E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②</w:t>
      </w:r>
      <w:r>
        <w:rPr>
          <w:rFonts w:hint="eastAsia" w:ascii="仿宋_GB2312" w:hAnsi="仿宋_GB2312" w:eastAsia="仿宋_GB2312" w:cs="仿宋_GB2312"/>
          <w:sz w:val="32"/>
          <w:szCs w:val="32"/>
          <w:lang w:val="en-US" w:eastAsia="zh-CN"/>
        </w:rPr>
        <w:t>半挂车参数：骨架箱体自卸侧翻挂车(半挂车)载质量50吨。</w:t>
      </w:r>
    </w:p>
    <w:p w14:paraId="47C1009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2、车牌号：以车辆挂牌号为准，车辆挂牌后甲乙双方共同签订补充协议予以确认。</w:t>
      </w:r>
    </w:p>
    <w:p w14:paraId="5074E3DD">
      <w:pPr>
        <w:ind w:firstLine="640" w:firstLineChars="200"/>
        <w:jc w:val="lef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二、租赁用途</w:t>
      </w:r>
    </w:p>
    <w:p w14:paraId="0758211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1、甲方同意乙方使用承租车辆进行运输行业的合法经营活动。</w:t>
      </w:r>
    </w:p>
    <w:p w14:paraId="3CACDCD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2、乙方不得使用承租车辆从事违反法律法规营运活动，或者改变承租车辆的核定的用途从事危险品运输等运营活动。</w:t>
      </w:r>
    </w:p>
    <w:p w14:paraId="01724A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乙方在使用租赁期间车辆运行范围超出商丘市区，且时间超过15天的，需向甲方书面报备车辆的去向、运行路线及营运范围。甲方通过视频监控查看车辆实际运营情况，因停运连续7天无法查看车辆轨迹及视频时，甲方到现场查看车辆，甲方人员交通、食宿费用由乙方承担。 </w:t>
      </w:r>
    </w:p>
    <w:p w14:paraId="44620535">
      <w:pPr>
        <w:ind w:firstLine="640" w:firstLineChars="200"/>
        <w:jc w:val="lef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三、租赁期限</w:t>
      </w:r>
    </w:p>
    <w:p w14:paraId="0A867F9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lang w:val="en-US" w:eastAsia="zh-CN"/>
        </w:rPr>
        <w:t>本合同双方约定的租赁期限为8年，租赁日期为2026年</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月</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日至</w:t>
      </w:r>
      <w:r>
        <w:rPr>
          <w:rFonts w:hint="eastAsia" w:ascii="仿宋_GB2312" w:hAnsi="仿宋_GB2312" w:eastAsia="仿宋_GB2312" w:cs="仿宋_GB2312"/>
          <w:sz w:val="32"/>
          <w:szCs w:val="32"/>
          <w:u w:val="single"/>
          <w:lang w:val="en-US" w:eastAsia="zh-CN"/>
        </w:rPr>
        <w:t xml:space="preserve">              。</w:t>
      </w:r>
    </w:p>
    <w:p w14:paraId="515E980C">
      <w:pPr>
        <w:ind w:firstLine="640" w:firstLineChars="200"/>
        <w:jc w:val="lef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四、租金、合同履约保证金支付方式</w:t>
      </w:r>
    </w:p>
    <w:p w14:paraId="07B1F3F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1、租赁标的租金含税价为</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，其中第一年租金</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，第二年租金</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，第三年租金</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，第四年租金</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，第五年租金</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，第六年租金</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w:t>
      </w:r>
    </w:p>
    <w:p w14:paraId="3026A8C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2、租金支付方式（现汇）：租金一年一交，第一年度租赁合同签订后5个工作日内足额支付，第二年、第三年、第四年、第五年、第六年租金前一期租金届满前1个月内支付。</w:t>
      </w:r>
    </w:p>
    <w:p w14:paraId="77F7D10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3、合同履约保证金为20万元人民币、租赁标的资产保证金120万元人民币。</w:t>
      </w:r>
    </w:p>
    <w:p w14:paraId="77EDC31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乙方中标后租赁合同履约保证金在乙方中标后3日内租赁合同签订前，交至甲方指定账户，租赁合同履行完毕按照合同约定退还。</w:t>
      </w:r>
    </w:p>
    <w:p w14:paraId="05170A3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租赁标的资产保证金，乙方中标后租赁合同签订前，交至招标人指定账户，甲方应付乙方煤炭运输款满120万元后退还（每期应付煤炭运输款留存30%，直至满120万元），后期甲方应付投标人运输款始终保持120万元作为租赁标的资产保证金，租赁合同履行完毕按照合同约定支付。</w:t>
      </w:r>
    </w:p>
    <w:p w14:paraId="36816224">
      <w:pPr>
        <w:ind w:firstLine="640" w:firstLineChars="200"/>
        <w:jc w:val="lef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五、租赁标的交接</w:t>
      </w:r>
    </w:p>
    <w:p w14:paraId="48B89E3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1、甲方购买新能源重卡（出租车辆）到货后甲乙双方进行租承租车辆的交接，交清单以甲方与签订供应商新能源重卡合同清单为准。交接单甲乙双方签字确认。</w:t>
      </w:r>
    </w:p>
    <w:p w14:paraId="358C205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2、新能源重卡交付由甲方牵头乙方协助，对到货车辆备品备件进行清点，乙方提供交付场地，负责交付后的车辆备品备件保管，对到货车辆及备品备件负责，丢失、损坏由乙方赔偿。</w:t>
      </w:r>
    </w:p>
    <w:p w14:paraId="2CD4EA6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3、新能源重卡验收、安装调试及考核由甲方牵头乙方协助，乙方提供验收、安装调试、考核场地、充电设备及相应的驾驶员。</w:t>
      </w:r>
    </w:p>
    <w:p w14:paraId="6AD3D6C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4乙方协助甲方办理车辆入户手续，承担相应的协调费用。</w:t>
      </w:r>
    </w:p>
    <w:p w14:paraId="514D679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5车辆完成验收、入户后甲乙双方签订交接补充合同，列明交接清单及车辆规格型号、车辆牌号等信息。</w:t>
      </w:r>
    </w:p>
    <w:p w14:paraId="11FD6F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6、租赁届满后承租方应在5个工作日内向出租方交还承租车辆，交还车辆为年审内且通过年审，车辆设备完整、性能良好、电机电池电控须在正常二级维保内，且能够正常运行性能良好，车辆及备品、备件齐全。</w:t>
      </w:r>
    </w:p>
    <w:p w14:paraId="445551B4">
      <w:pPr>
        <w:ind w:firstLine="640" w:firstLineChars="200"/>
        <w:jc w:val="lef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六、租赁标的维保维修</w:t>
      </w:r>
    </w:p>
    <w:p w14:paraId="2D3D18F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1、质保期内，乙方严格按照</w:t>
      </w:r>
      <w:r>
        <w:rPr>
          <w:rFonts w:hint="default" w:ascii="仿宋_GB2312" w:hAnsi="仿宋_GB2312" w:eastAsia="仿宋_GB2312" w:cs="仿宋_GB2312"/>
          <w:sz w:val="32"/>
          <w:szCs w:val="32"/>
          <w:lang w:val="en-US" w:eastAsia="zh-CN"/>
        </w:rPr>
        <w:t>厂家指定或授权的维修服务站</w:t>
      </w:r>
      <w:r>
        <w:rPr>
          <w:rFonts w:hint="eastAsia" w:ascii="仿宋_GB2312" w:hAnsi="仿宋_GB2312" w:eastAsia="仿宋_GB2312" w:cs="仿宋_GB2312"/>
          <w:sz w:val="32"/>
          <w:szCs w:val="32"/>
          <w:lang w:val="en-US" w:eastAsia="zh-CN"/>
        </w:rPr>
        <w:t>进行车辆的二级维保，并建立维保手册，详细填写维保记录，因维保记录不符合交通管理部门要求，交通管理部门对出租方通报并罚款的时，甲方有权要求乙方承担，若乙方拒绝承担，甲方可无条件解除协议，合同履约保证金不予退还。</w:t>
      </w:r>
    </w:p>
    <w:p w14:paraId="1126F7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维修保养</w:t>
      </w:r>
      <w:r>
        <w:rPr>
          <w:rFonts w:hint="eastAsia" w:ascii="仿宋_GB2312" w:hAnsi="仿宋_GB2312" w:eastAsia="仿宋_GB2312" w:cs="仿宋_GB2312"/>
          <w:sz w:val="32"/>
          <w:szCs w:val="32"/>
          <w:lang w:val="en-US" w:eastAsia="zh-CN"/>
        </w:rPr>
        <w:t>时</w:t>
      </w:r>
      <w:r>
        <w:rPr>
          <w:rFonts w:hint="default" w:ascii="仿宋_GB2312" w:hAnsi="仿宋_GB2312" w:eastAsia="仿宋_GB2312" w:cs="仿宋_GB2312"/>
          <w:sz w:val="32"/>
          <w:szCs w:val="32"/>
          <w:lang w:val="en-US" w:eastAsia="zh-CN"/>
        </w:rPr>
        <w:t>，其中车辆电池及其他核心设备维修更换需</w:t>
      </w:r>
      <w:r>
        <w:rPr>
          <w:rFonts w:hint="eastAsia" w:ascii="仿宋_GB2312" w:hAnsi="仿宋_GB2312" w:eastAsia="仿宋_GB2312" w:cs="仿宋_GB2312"/>
          <w:sz w:val="32"/>
          <w:szCs w:val="32"/>
          <w:lang w:val="en-US" w:eastAsia="zh-CN"/>
        </w:rPr>
        <w:t>更换</w:t>
      </w:r>
      <w:r>
        <w:rPr>
          <w:rFonts w:hint="default" w:ascii="仿宋_GB2312" w:hAnsi="仿宋_GB2312" w:eastAsia="仿宋_GB2312" w:cs="仿宋_GB2312"/>
          <w:sz w:val="32"/>
          <w:szCs w:val="32"/>
          <w:lang w:val="en-US" w:eastAsia="zh-CN"/>
        </w:rPr>
        <w:t>原车正厂品牌（维修需在出租方监督下进行)，不得私自拆卸或更换其他厂商品牌。</w:t>
      </w:r>
    </w:p>
    <w:p w14:paraId="698D0E3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质保期内，车辆发现异常情况应第一时间向甲方报告，车辆停止运行等待厂家处理，停止运行小于30天甲方不予减免租金，大于30天按照停止运行时间折合租金给予减免租金。若乙方发现异常不向甲方报告，继续运行造成车辆损坏，厂家判定是使用过失造成的设备故障，损失由乙方承担。</w:t>
      </w:r>
    </w:p>
    <w:p w14:paraId="6B75E5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质保期外，保养维修需在厂家指定的维修厂对车辆进行二级维保，若乙方提出在厂家指定的维修厂进行车辆二级维护，需向甲方书面提出，甲方同意后方可更换二级维保维修厂，更换的二级维保维修厂必须符合相关资质和能力。</w:t>
      </w:r>
    </w:p>
    <w:p w14:paraId="43864C1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维修保养</w:t>
      </w:r>
      <w:r>
        <w:rPr>
          <w:rFonts w:hint="eastAsia" w:ascii="仿宋_GB2312" w:hAnsi="仿宋_GB2312" w:eastAsia="仿宋_GB2312" w:cs="仿宋_GB2312"/>
          <w:sz w:val="32"/>
          <w:szCs w:val="32"/>
          <w:lang w:val="en-US" w:eastAsia="zh-CN"/>
        </w:rPr>
        <w:t>时</w:t>
      </w:r>
      <w:r>
        <w:rPr>
          <w:rFonts w:hint="default" w:ascii="仿宋_GB2312" w:hAnsi="仿宋_GB2312" w:eastAsia="仿宋_GB2312" w:cs="仿宋_GB2312"/>
          <w:sz w:val="32"/>
          <w:szCs w:val="32"/>
          <w:lang w:val="en-US" w:eastAsia="zh-CN"/>
        </w:rPr>
        <w:t>，其中车辆电池及其他核心设备维修更换需</w:t>
      </w:r>
      <w:r>
        <w:rPr>
          <w:rFonts w:hint="eastAsia" w:ascii="仿宋_GB2312" w:hAnsi="仿宋_GB2312" w:eastAsia="仿宋_GB2312" w:cs="仿宋_GB2312"/>
          <w:sz w:val="32"/>
          <w:szCs w:val="32"/>
          <w:lang w:val="en-US" w:eastAsia="zh-CN"/>
        </w:rPr>
        <w:t>更换</w:t>
      </w:r>
      <w:r>
        <w:rPr>
          <w:rFonts w:hint="default" w:ascii="仿宋_GB2312" w:hAnsi="仿宋_GB2312" w:eastAsia="仿宋_GB2312" w:cs="仿宋_GB2312"/>
          <w:sz w:val="32"/>
          <w:szCs w:val="32"/>
          <w:lang w:val="en-US" w:eastAsia="zh-CN"/>
        </w:rPr>
        <w:t>原车正厂品牌（维修需在出租方监督下进行)，不得私自拆卸或更换其他厂商品牌。</w:t>
      </w:r>
    </w:p>
    <w:p w14:paraId="6E5568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4、因乙方二级维保不到位造成车辆严重损坏，乙方需承担维保费用，造成甲方车辆严重贬值或影响到期后的二次租赁，乙方可无条件终止合同，合同履约保证金不予退还，并向乙方追究以此给甲方造成的损失。</w:t>
      </w:r>
    </w:p>
    <w:p w14:paraId="257805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5、租赁期内，乙方在维修车辆时不得违反国家规定改造改装承租车辆，因改造改装造成车辆损失乙方在30日内恢复，不能恢复的按照甲方购置时价格给予赔偿。</w:t>
      </w:r>
    </w:p>
    <w:p w14:paraId="6AC05D3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6、租赁期内承租车辆维保、修理等一切运行费用由乙方自行承担。</w:t>
      </w:r>
    </w:p>
    <w:p w14:paraId="538C72E8">
      <w:pPr>
        <w:ind w:firstLine="640" w:firstLineChars="200"/>
        <w:jc w:val="lef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七、安全责任</w:t>
      </w:r>
    </w:p>
    <w:p w14:paraId="30E1E8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租赁期内，乙方必须按照国家、地方法律法规的规定安全经营，租赁期间承租车辆发生的交通事故责任、财产损失由乙方承担。</w:t>
      </w:r>
    </w:p>
    <w:p w14:paraId="1827E71E">
      <w:pPr>
        <w:ind w:firstLine="640" w:firstLineChars="200"/>
        <w:jc w:val="lef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八、租赁标的转租、转让、续租</w:t>
      </w:r>
    </w:p>
    <w:p w14:paraId="0E687BF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1、租赁期内，乙方不得对租赁标的进行转租，乙方因公司管理需要可以与第三方合作，但不得损害甲方在本合同项下的既得利益。</w:t>
      </w:r>
    </w:p>
    <w:p w14:paraId="67B6896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租赁期内，甲方欲出售租赁标的给第三方的，甲方应提前30天以书面形式通知乙方，在同等条件下，乙方享有优先购买权。如乙方放弃优先购买权，则甲方保证使受让方充分了解本合同项下的权利与义务，并同意本合同项下约定的权利与义务对受让方继续有效。</w:t>
      </w:r>
    </w:p>
    <w:p w14:paraId="40A5308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3、租赁期届满前，乙方如要求续租，应在租赁期届满前1个月以书面形式通知甲方，经甲方同意后，重新商定租赁价格签订租赁合同。如新的租赁价格双方达不成一致意见，合同到期终止。</w:t>
      </w:r>
    </w:p>
    <w:p w14:paraId="4A290ED3">
      <w:pPr>
        <w:ind w:firstLine="640" w:firstLineChars="200"/>
        <w:jc w:val="lef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九、甲方的主要权利与义务</w:t>
      </w:r>
    </w:p>
    <w:p w14:paraId="25F4BD9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1、保证提供的租赁车辆所有权归招标公司完全拥有，不存在抵押、产权纠纷或第三方权利主张。</w:t>
      </w:r>
    </w:p>
    <w:p w14:paraId="0FC0AE5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2、保证提供的租赁车辆手续合法齐全，保证车辆具备机动车行驶证、机动车登记证书等法定证件，且均在有效期内。</w:t>
      </w:r>
    </w:p>
    <w:p w14:paraId="32C7866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3、拥有租赁车辆的安全监管权、合法运行监督权，对承租方在租赁期间存在重大安全隐患、违反法律法规行为有制止权和解除合同权。</w:t>
      </w:r>
    </w:p>
    <w:p w14:paraId="206AED7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4、享有在租赁期间车辆保险收益权，并对购买保险种类和金额有决定权。</w:t>
      </w:r>
    </w:p>
    <w:p w14:paraId="3E06B04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5、享有租赁车辆租金收缴权，在承租期间承租方未按合同约定足额缴纳租金有收回车辆、沉淀承租方保证及终止合同权。</w:t>
      </w:r>
    </w:p>
    <w:p w14:paraId="09C8AF7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6、享有因国家政策及企业内部管理变化有无条件终止合同权。</w:t>
      </w:r>
    </w:p>
    <w:p w14:paraId="1FCBEBD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7、牵头督促承租方处理出租期内出租车辆发生的交通事故及财产损失事故，并按照交通交警及保险机构要求提供相关资料。</w:t>
      </w:r>
    </w:p>
    <w:p w14:paraId="36E47DA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8、牵头督促承租方处理出租期内出租车辆发生的违反交通法律法规的违法行为整改。</w:t>
      </w:r>
    </w:p>
    <w:p w14:paraId="6F30221F">
      <w:pPr>
        <w:ind w:firstLine="640" w:firstLineChars="200"/>
        <w:jc w:val="lef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十、乙方的主要权利与义务</w:t>
      </w:r>
    </w:p>
    <w:p w14:paraId="4C92C26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1、拥有租赁车辆在承租期内使用权和经营权，承租期内自主经营，经营发生的所有费用自行承担。</w:t>
      </w:r>
    </w:p>
    <w:p w14:paraId="4BC7DCA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2、保证在车辆承租期间内合法合规经营，根据国家及地方规定纳入公安交通管理部门的监管，管理制度、驾驶员聘用均要符合国家规定及交通交警管理部门要求。</w:t>
      </w:r>
    </w:p>
    <w:p w14:paraId="0A6FCAC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2、保证在承租期内安全运行，按照出租方要求把承租车辆监控信号接入出租方监控室，并接受出租方安全监管。</w:t>
      </w:r>
    </w:p>
    <w:p w14:paraId="2B0EED2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3、负责车辆租赁期间的车辆保管和维护，并配备专门的停车场（安装视频监控，监控信号接入出租方监控室），按照国家及地方规定做好承租车辆的二级维护，保证车辆运行安全和停放安全。</w:t>
      </w:r>
    </w:p>
    <w:p w14:paraId="484501F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车辆维修保养需在车辆厂家指定或授权的维修服务站进行维修保养，其中车辆电池及其他核心设备维修更换需更换以原车正厂品牌（维修需在出租方监督下进行)，不得私自拆卸或更换其他厂商品牌。</w:t>
      </w:r>
    </w:p>
    <w:p w14:paraId="1DEC540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4、保证按时足额缴纳车辆租金和保险费用，定期按照出租方要求足额向保险公司购买交强险和商业险，每台套车辆商业保险赔付额度不低于1000万元人民币。保险受益人为承租方，保险费用由承租方。</w:t>
      </w:r>
    </w:p>
    <w:p w14:paraId="09A45A8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负责承租车辆运行人员（管理人员、驾驶员）的管理和承担一切责任，承租车辆运行人员需经健康体检合格或持有有效驾驶证（与准驾车型相符）、安全培训考试合格，按照国家规定为运行承租车辆人员购买工伤保险或商业保险。</w:t>
      </w:r>
    </w:p>
    <w:p w14:paraId="2D5DBAC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6、承担承租期内承租车辆发生的交通事故及财产损失事故协调和协调费用（包括但不限于协调费用、诉讼代理、鉴定检测等费用），并承担保险赔付外造成出租方的损失。</w:t>
      </w:r>
    </w:p>
    <w:p w14:paraId="2ADD0F6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7、承担承租期内承租车辆发生的违反交通法律法规的违法行为罚款和整改。</w:t>
      </w:r>
    </w:p>
    <w:p w14:paraId="032E9FE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8、协助出租方接收、考核、验收采购车辆（出租车辆），提供接收场所和为交车方提供办公场所，并负责看护接收车辆设备、备件。</w:t>
      </w:r>
    </w:p>
    <w:p w14:paraId="0D30447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9、协助出租方办理采购车辆（出租车辆）入户手续办理，承担相应的协调费用。</w:t>
      </w:r>
    </w:p>
    <w:p w14:paraId="296AC52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负责承租期间承租车辆的年度检验，并承担检验费用。1、租赁期内，乙方拥有租赁车辆的使用权和经营权，保证在车辆承租期间内合法合规经营，按时足额向甲方支付租金，承租期内自主经营，经营发生的所有费用自行承担。</w:t>
      </w:r>
    </w:p>
    <w:p w14:paraId="4C80D254">
      <w:pPr>
        <w:ind w:firstLine="640" w:firstLineChars="200"/>
        <w:jc w:val="lef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十一、违约责任</w:t>
      </w:r>
    </w:p>
    <w:p w14:paraId="1E45A1F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1、若乙方未按照合同约定支付租金的，每延误一日须支付应付款项万分之五的违约金，延误超过30日自动解除本合同，甲方不退还乙方合同履约保证金。</w:t>
      </w:r>
    </w:p>
    <w:p w14:paraId="1466F975">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若因乙方违约行为导致合同解除，甲方除了不予退还租金和履约保证金、资产保证金，乙方还需偿付甲方因此造成的经济损失。</w:t>
      </w:r>
    </w:p>
    <w:p w14:paraId="57164A51">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乙方提前单方解除合同退租，前2年内合同履约保证金全部沉淀，租赁标的资产保证金全部沉淀，作为乙方给予甲方的经济补偿；超出2年不足4年乙方提前单方解除合同退租，合同履约保证金全部沉淀，租赁标的资产保证金70%沉淀，作为乙方给予甲方的经济补偿；超出4年不足6年乙方提前单方解除合同退租，合同履约保证金全部沉淀，租赁标的资产保证金50%沉淀，作为乙方给予甲方的经济补偿。</w:t>
      </w:r>
    </w:p>
    <w:p w14:paraId="3DDD1E8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3、若甲方违约行为导致合同解除，甲方除了应退还剩余期限的租金外，还需偿付乙方因此造成的经济损失。</w:t>
      </w:r>
    </w:p>
    <w:p w14:paraId="437AC99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租赁期届满乙方未按合同约定向甲方交还车辆及备品备件，逾期不交还视为违约，按照1000元/天·辆向出租方赔偿。超过30日未交还车辆及备品备件，视为乙方非法占用，甲方不予退还乙方合同履约保证金，且甲方有权向司法机关提起诉讼，要求乙方给予赔偿。</w:t>
      </w:r>
    </w:p>
    <w:p w14:paraId="32E269A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5、乙方交还的车辆及备品备件不符合交还要求，甲方折价扣除乙方合同履约保证金，履约保证金无法弥补甲方损失的，甲方有权向乙方追偿损失。</w:t>
      </w:r>
    </w:p>
    <w:p w14:paraId="3E8B57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乙方未履行合同约定车辆的保管、维保维修义务，给甲方造成潜在损失的，甲方有权要求乙方给予赔偿，赔偿金额按照因乙方未履行合同约定的保管、维保维修义务造成设备购买价值计算。赔偿款甲方不向乙方出具发票。</w:t>
      </w:r>
    </w:p>
    <w:p w14:paraId="6760C8D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7、乙方在租赁期内不服从甲方监管，出现安全隐患不予整改、出现车辆质量损失贬值，甲方视隐患对甲方潜在风险和损失给予增加租金，直至解除合同不予退还乙方合同履约保证金。</w:t>
      </w:r>
    </w:p>
    <w:p w14:paraId="1DBC4380">
      <w:pPr>
        <w:ind w:firstLine="640" w:firstLineChars="200"/>
        <w:jc w:val="lef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 xml:space="preserve">十二、不可抗力 </w:t>
      </w:r>
    </w:p>
    <w:p w14:paraId="3A1F45D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1、“不可抗力”是指不能预见、不能避免并不能克服的客观情况，包括但不限于天灾、水灾、地震等自然灾害，战争、暴乱等社会事件导致无法履行合同的情形。</w:t>
      </w:r>
    </w:p>
    <w:p w14:paraId="293648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由于不可抗力原因，使双方或任何一方不能履行合同义务时，受到不可抗力影响的一方应采取有效措施，尽量避免或减少损失，将损失降到最低程度，在不可抗力发生后48小时内以书面形式通知对方，并在15天内向对方提供有效证明文件，以便对方审查、确认，一方未尽通知义务或未采取措施避免、减少损失的，应就扩大的损失承担相应的赔偿责任。</w:t>
      </w:r>
    </w:p>
    <w:p w14:paraId="5AA1743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因不可抗力不能履行合同或延迟履行合同的，根据不可抗力的影响，部分或全部免除责任，但法律另有规定的除外。若发生延迟履行，在延迟履行期间发生不可抗力事件导致延迟履行方无法履行其合同义务，延迟履行方不能就延迟履行期间的不可抗力事件免责。</w:t>
      </w:r>
    </w:p>
    <w:p w14:paraId="43A8966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4、因地震、战争、洪水、水灾等不可抗力原因，造成一方不能履行合同的，免除违约责任，甲方按照实际租赁标的时间收取一方租金，多收部分，由甲方退回乙方。</w:t>
      </w:r>
    </w:p>
    <w:p w14:paraId="3C351D9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5、因国家、地方政府政策变化，导致租赁标的被收回、处置等情况的，本合同提前终止，乙方应付租金按照实际租赁使用时间计算，甲方应退还乙方于实际租赁期外多支付的租金。</w:t>
      </w:r>
    </w:p>
    <w:p w14:paraId="56FFA1FF">
      <w:pPr>
        <w:ind w:firstLine="640" w:firstLineChars="200"/>
        <w:jc w:val="lef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十三、其他</w:t>
      </w:r>
    </w:p>
    <w:p w14:paraId="382A37B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r>
        <w:rPr>
          <w:rFonts w:hint="default" w:ascii="仿宋_GB2312" w:hAnsi="仿宋_GB2312" w:eastAsia="仿宋_GB2312" w:cs="仿宋_GB2312"/>
          <w:sz w:val="32"/>
          <w:szCs w:val="32"/>
          <w:lang w:val="en-US" w:eastAsia="zh-CN"/>
        </w:rPr>
        <w:t>租赁期间，</w:t>
      </w:r>
      <w:r>
        <w:rPr>
          <w:rFonts w:hint="eastAsia" w:ascii="仿宋_GB2312" w:hAnsi="仿宋_GB2312" w:eastAsia="仿宋_GB2312" w:cs="仿宋_GB2312"/>
          <w:sz w:val="32"/>
          <w:szCs w:val="32"/>
          <w:lang w:val="en-US" w:eastAsia="zh-CN"/>
        </w:rPr>
        <w:t>乙方</w:t>
      </w:r>
      <w:r>
        <w:rPr>
          <w:rFonts w:hint="default" w:ascii="仿宋_GB2312" w:hAnsi="仿宋_GB2312" w:eastAsia="仿宋_GB2312" w:cs="仿宋_GB2312"/>
          <w:sz w:val="32"/>
          <w:szCs w:val="32"/>
          <w:lang w:val="en-US" w:eastAsia="zh-CN"/>
        </w:rPr>
        <w:t>可参与</w:t>
      </w:r>
      <w:r>
        <w:rPr>
          <w:rFonts w:hint="eastAsia" w:ascii="仿宋_GB2312" w:hAnsi="仿宋_GB2312" w:eastAsia="仿宋_GB2312" w:cs="仿宋_GB2312"/>
          <w:sz w:val="32"/>
          <w:szCs w:val="32"/>
          <w:lang w:val="en-US" w:eastAsia="zh-CN"/>
        </w:rPr>
        <w:t>甲方</w:t>
      </w:r>
      <w:r>
        <w:rPr>
          <w:rFonts w:hint="default" w:ascii="仿宋_GB2312" w:hAnsi="仿宋_GB2312" w:eastAsia="仿宋_GB2312" w:cs="仿宋_GB2312"/>
          <w:sz w:val="32"/>
          <w:szCs w:val="32"/>
          <w:lang w:val="en-US" w:eastAsia="zh-CN"/>
        </w:rPr>
        <w:t>每年的煤炭运输招标项目，若</w:t>
      </w:r>
      <w:r>
        <w:rPr>
          <w:rFonts w:hint="eastAsia" w:ascii="仿宋_GB2312" w:hAnsi="仿宋_GB2312" w:eastAsia="仿宋_GB2312" w:cs="仿宋_GB2312"/>
          <w:sz w:val="32"/>
          <w:szCs w:val="32"/>
          <w:lang w:val="en-US" w:eastAsia="zh-CN"/>
        </w:rPr>
        <w:t>乙方</w:t>
      </w:r>
      <w:r>
        <w:rPr>
          <w:rFonts w:hint="default" w:ascii="仿宋_GB2312" w:hAnsi="仿宋_GB2312" w:eastAsia="仿宋_GB2312" w:cs="仿宋_GB2312"/>
          <w:sz w:val="32"/>
          <w:szCs w:val="32"/>
          <w:lang w:val="en-US" w:eastAsia="zh-CN"/>
        </w:rPr>
        <w:t>中标依据</w:t>
      </w:r>
      <w:r>
        <w:rPr>
          <w:rFonts w:hint="eastAsia" w:ascii="仿宋_GB2312" w:hAnsi="仿宋_GB2312" w:eastAsia="仿宋_GB2312" w:cs="仿宋_GB2312"/>
          <w:sz w:val="32"/>
          <w:szCs w:val="32"/>
          <w:lang w:val="en-US" w:eastAsia="zh-CN"/>
        </w:rPr>
        <w:t>甲方</w:t>
      </w:r>
      <w:r>
        <w:rPr>
          <w:rFonts w:hint="default" w:ascii="仿宋_GB2312" w:hAnsi="仿宋_GB2312" w:eastAsia="仿宋_GB2312" w:cs="仿宋_GB2312"/>
          <w:sz w:val="32"/>
          <w:szCs w:val="32"/>
          <w:lang w:val="en-US" w:eastAsia="zh-CN"/>
        </w:rPr>
        <w:t>招标方案签订合同和组织车辆承运；若</w:t>
      </w:r>
      <w:r>
        <w:rPr>
          <w:rFonts w:hint="eastAsia" w:ascii="仿宋_GB2312" w:hAnsi="仿宋_GB2312" w:eastAsia="仿宋_GB2312" w:cs="仿宋_GB2312"/>
          <w:sz w:val="32"/>
          <w:szCs w:val="32"/>
          <w:lang w:val="en-US" w:eastAsia="zh-CN"/>
        </w:rPr>
        <w:t>乙方</w:t>
      </w:r>
      <w:r>
        <w:rPr>
          <w:rFonts w:hint="default" w:ascii="仿宋_GB2312" w:hAnsi="仿宋_GB2312" w:eastAsia="仿宋_GB2312" w:cs="仿宋_GB2312"/>
          <w:sz w:val="32"/>
          <w:szCs w:val="32"/>
          <w:lang w:val="en-US" w:eastAsia="zh-CN"/>
        </w:rPr>
        <w:t>未能中标，按照</w:t>
      </w:r>
      <w:r>
        <w:rPr>
          <w:rFonts w:hint="eastAsia" w:ascii="仿宋_GB2312" w:hAnsi="仿宋_GB2312" w:eastAsia="仿宋_GB2312" w:cs="仿宋_GB2312"/>
          <w:sz w:val="32"/>
          <w:szCs w:val="32"/>
          <w:lang w:val="en-US" w:eastAsia="zh-CN"/>
        </w:rPr>
        <w:t>甲方</w:t>
      </w:r>
      <w:r>
        <w:rPr>
          <w:rFonts w:hint="default" w:ascii="仿宋_GB2312" w:hAnsi="仿宋_GB2312" w:eastAsia="仿宋_GB2312" w:cs="仿宋_GB2312"/>
          <w:sz w:val="32"/>
          <w:szCs w:val="32"/>
          <w:lang w:val="en-US" w:eastAsia="zh-CN"/>
        </w:rPr>
        <w:t>招标结果，可以承担600吨/天煤炭运输（本运输量为</w:t>
      </w:r>
      <w:r>
        <w:rPr>
          <w:rFonts w:hint="eastAsia" w:ascii="仿宋_GB2312" w:hAnsi="仿宋_GB2312" w:eastAsia="仿宋_GB2312" w:cs="仿宋_GB2312"/>
          <w:sz w:val="32"/>
          <w:szCs w:val="32"/>
          <w:lang w:val="en-US" w:eastAsia="zh-CN"/>
        </w:rPr>
        <w:t>甲方</w:t>
      </w:r>
      <w:r>
        <w:rPr>
          <w:rFonts w:hint="default" w:ascii="仿宋_GB2312" w:hAnsi="仿宋_GB2312" w:eastAsia="仿宋_GB2312" w:cs="仿宋_GB2312"/>
          <w:sz w:val="32"/>
          <w:szCs w:val="32"/>
          <w:lang w:val="en-US" w:eastAsia="zh-CN"/>
        </w:rPr>
        <w:t>给予</w:t>
      </w:r>
      <w:r>
        <w:rPr>
          <w:rFonts w:hint="eastAsia" w:ascii="仿宋_GB2312" w:hAnsi="仿宋_GB2312" w:eastAsia="仿宋_GB2312" w:cs="仿宋_GB2312"/>
          <w:sz w:val="32"/>
          <w:szCs w:val="32"/>
          <w:lang w:val="en-US" w:eastAsia="zh-CN"/>
        </w:rPr>
        <w:t>乙方</w:t>
      </w:r>
      <w:r>
        <w:rPr>
          <w:rFonts w:hint="default" w:ascii="仿宋_GB2312" w:hAnsi="仿宋_GB2312" w:eastAsia="仿宋_GB2312" w:cs="仿宋_GB2312"/>
          <w:sz w:val="32"/>
          <w:szCs w:val="32"/>
          <w:lang w:val="en-US" w:eastAsia="zh-CN"/>
        </w:rPr>
        <w:t>单方面的优惠政策），运输协议双方另行签订，协议条款按照</w:t>
      </w:r>
      <w:r>
        <w:rPr>
          <w:rFonts w:hint="eastAsia" w:ascii="仿宋_GB2312" w:hAnsi="仿宋_GB2312" w:eastAsia="仿宋_GB2312" w:cs="仿宋_GB2312"/>
          <w:sz w:val="32"/>
          <w:szCs w:val="32"/>
          <w:lang w:val="en-US" w:eastAsia="zh-CN"/>
        </w:rPr>
        <w:t>甲方</w:t>
      </w:r>
      <w:r>
        <w:rPr>
          <w:rFonts w:hint="default" w:ascii="仿宋_GB2312" w:hAnsi="仿宋_GB2312" w:eastAsia="仿宋_GB2312" w:cs="仿宋_GB2312"/>
          <w:sz w:val="32"/>
          <w:szCs w:val="32"/>
          <w:lang w:val="en-US" w:eastAsia="zh-CN"/>
        </w:rPr>
        <w:t>招标文件执行。</w:t>
      </w:r>
    </w:p>
    <w:p w14:paraId="6195C1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w:t>
      </w:r>
      <w:r>
        <w:rPr>
          <w:rFonts w:hint="default" w:ascii="仿宋_GB2312" w:hAnsi="仿宋_GB2312" w:eastAsia="仿宋_GB2312" w:cs="仿宋_GB2312"/>
          <w:sz w:val="32"/>
          <w:szCs w:val="32"/>
          <w:lang w:val="en-US" w:eastAsia="zh-CN"/>
        </w:rPr>
        <w:t>当期运输量（当天）不足1200吨时，按照当天实际运输计划的50%交由</w:t>
      </w:r>
      <w:r>
        <w:rPr>
          <w:rFonts w:hint="eastAsia" w:ascii="仿宋_GB2312" w:hAnsi="仿宋_GB2312" w:eastAsia="仿宋_GB2312" w:cs="仿宋_GB2312"/>
          <w:sz w:val="32"/>
          <w:szCs w:val="32"/>
          <w:lang w:val="en-US" w:eastAsia="zh-CN"/>
        </w:rPr>
        <w:t>乙方</w:t>
      </w:r>
      <w:r>
        <w:rPr>
          <w:rFonts w:hint="default" w:ascii="仿宋_GB2312" w:hAnsi="仿宋_GB2312" w:eastAsia="仿宋_GB2312" w:cs="仿宋_GB2312"/>
          <w:sz w:val="32"/>
          <w:szCs w:val="32"/>
          <w:lang w:val="en-US" w:eastAsia="zh-CN"/>
        </w:rPr>
        <w:t>负责承运。</w:t>
      </w:r>
    </w:p>
    <w:p w14:paraId="7A0D671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7、因政策及其他客观因素影响，</w:t>
      </w:r>
      <w:r>
        <w:rPr>
          <w:rFonts w:hint="eastAsia" w:ascii="仿宋_GB2312" w:hAnsi="仿宋_GB2312" w:eastAsia="仿宋_GB2312" w:cs="仿宋_GB2312"/>
          <w:sz w:val="32"/>
          <w:szCs w:val="32"/>
          <w:lang w:val="en-US" w:eastAsia="zh-CN"/>
        </w:rPr>
        <w:t>甲方</w:t>
      </w:r>
      <w:r>
        <w:rPr>
          <w:rFonts w:hint="default" w:ascii="仿宋_GB2312" w:hAnsi="仿宋_GB2312" w:eastAsia="仿宋_GB2312" w:cs="仿宋_GB2312"/>
          <w:sz w:val="32"/>
          <w:szCs w:val="32"/>
          <w:lang w:val="en-US" w:eastAsia="zh-CN"/>
        </w:rPr>
        <w:t>无法给予600吨/天煤炭运输量的优惠政策，</w:t>
      </w:r>
      <w:r>
        <w:rPr>
          <w:rFonts w:hint="eastAsia" w:ascii="仿宋_GB2312" w:hAnsi="仿宋_GB2312" w:eastAsia="仿宋_GB2312" w:cs="仿宋_GB2312"/>
          <w:sz w:val="32"/>
          <w:szCs w:val="32"/>
          <w:lang w:val="en-US" w:eastAsia="zh-CN"/>
        </w:rPr>
        <w:t>乙方</w:t>
      </w:r>
      <w:r>
        <w:rPr>
          <w:rFonts w:hint="default" w:ascii="仿宋_GB2312" w:hAnsi="仿宋_GB2312" w:eastAsia="仿宋_GB2312" w:cs="仿宋_GB2312"/>
          <w:sz w:val="32"/>
          <w:szCs w:val="32"/>
          <w:lang w:val="en-US" w:eastAsia="zh-CN"/>
        </w:rPr>
        <w:t>不得以运输量不足或无运输量提出解除合同或降低租金，若</w:t>
      </w:r>
      <w:r>
        <w:rPr>
          <w:rFonts w:hint="eastAsia" w:ascii="仿宋_GB2312" w:hAnsi="仿宋_GB2312" w:eastAsia="仿宋_GB2312" w:cs="仿宋_GB2312"/>
          <w:sz w:val="32"/>
          <w:szCs w:val="32"/>
          <w:lang w:val="en-US" w:eastAsia="zh-CN"/>
        </w:rPr>
        <w:t>乙方</w:t>
      </w:r>
      <w:r>
        <w:rPr>
          <w:rFonts w:hint="default" w:ascii="仿宋_GB2312" w:hAnsi="仿宋_GB2312" w:eastAsia="仿宋_GB2312" w:cs="仿宋_GB2312"/>
          <w:sz w:val="32"/>
          <w:szCs w:val="32"/>
          <w:lang w:val="en-US" w:eastAsia="zh-CN"/>
        </w:rPr>
        <w:t>以运输量不足或无运输量提出解除合同或降低租金视为其违约。</w:t>
      </w:r>
    </w:p>
    <w:p w14:paraId="6E67B562">
      <w:pPr>
        <w:ind w:firstLine="640" w:firstLineChars="200"/>
        <w:jc w:val="lef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十四、争议的解决、管辖</w:t>
      </w:r>
    </w:p>
    <w:p w14:paraId="0EE823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双方在履行合同时发生争议，应及时通过友好协商解决，协商解决不成的，依法到合同签订地法院诉讼解决。</w:t>
      </w:r>
    </w:p>
    <w:p w14:paraId="251E371F">
      <w:pPr>
        <w:ind w:firstLine="640" w:firstLineChars="200"/>
        <w:jc w:val="lef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十五、附则</w:t>
      </w:r>
    </w:p>
    <w:p w14:paraId="420E49D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1、本合同未尽事宜由甲乙双方另行议定并签订补充协议，补充协议与本合同具有同等效力，合同签订依据、签订过程中形成的资料、意向与本合同不一致的一律以本合同为准。</w:t>
      </w:r>
    </w:p>
    <w:p w14:paraId="22960E4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2、本合同以双方签字并盖章后生效。</w:t>
      </w:r>
    </w:p>
    <w:p w14:paraId="6D03C1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3、本合同壹式肆份，甲乙双方各持贰份具有同等法律效力。</w:t>
      </w:r>
    </w:p>
    <w:p w14:paraId="5DFBA2B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（以下无正文）</w:t>
      </w:r>
    </w:p>
    <w:tbl>
      <w:tblPr>
        <w:tblStyle w:val="3"/>
        <w:tblW w:w="0" w:type="auto"/>
        <w:tblInd w:w="2" w:type="dxa"/>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Layout w:type="fixed"/>
        <w:tblCellMar>
          <w:top w:w="0" w:type="dxa"/>
          <w:left w:w="108" w:type="dxa"/>
          <w:bottom w:w="0" w:type="dxa"/>
          <w:right w:w="108" w:type="dxa"/>
        </w:tblCellMar>
      </w:tblPr>
      <w:tblGrid>
        <w:gridCol w:w="4436"/>
        <w:gridCol w:w="4437"/>
      </w:tblGrid>
      <w:tr w14:paraId="1E1C3819">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856" w:hRule="atLeast"/>
        </w:trPr>
        <w:tc>
          <w:tcPr>
            <w:tcW w:w="4436" w:type="dxa"/>
            <w:tcBorders>
              <w:top w:val="single" w:color="auto" w:sz="4" w:space="0"/>
            </w:tcBorders>
            <w:noWrap/>
            <w:vAlign w:val="center"/>
          </w:tcPr>
          <w:p w14:paraId="74674837">
            <w:pPr>
              <w:spacing w:line="400" w:lineRule="exact"/>
              <w:rPr>
                <w:rFonts w:ascii="仿宋_GB2312" w:hAnsi="宋体" w:eastAsia="仿宋_GB2312" w:cs="Times New Roman"/>
                <w:b/>
                <w:bCs/>
                <w:sz w:val="24"/>
                <w:szCs w:val="24"/>
              </w:rPr>
            </w:pPr>
            <w:r>
              <w:rPr>
                <w:rFonts w:hint="eastAsia" w:ascii="仿宋_GB2312" w:hAnsi="宋体" w:eastAsia="仿宋_GB2312" w:cs="仿宋_GB2312"/>
                <w:b/>
                <w:bCs/>
                <w:sz w:val="28"/>
                <w:szCs w:val="28"/>
              </w:rPr>
              <w:t>甲方：永城煤电集团聚龙物流贸易有限公司</w:t>
            </w:r>
          </w:p>
        </w:tc>
        <w:tc>
          <w:tcPr>
            <w:tcW w:w="4437" w:type="dxa"/>
            <w:tcBorders>
              <w:top w:val="single" w:color="auto" w:sz="4" w:space="0"/>
            </w:tcBorders>
            <w:noWrap/>
            <w:vAlign w:val="center"/>
          </w:tcPr>
          <w:p w14:paraId="73685B2A">
            <w:pPr>
              <w:spacing w:line="400" w:lineRule="exact"/>
              <w:rPr>
                <w:rFonts w:ascii="仿宋_GB2312" w:hAnsi="宋体" w:eastAsia="仿宋_GB2312" w:cs="Times New Roman"/>
                <w:b/>
                <w:bCs/>
                <w:sz w:val="24"/>
                <w:szCs w:val="24"/>
              </w:rPr>
            </w:pPr>
            <w:r>
              <w:rPr>
                <w:rFonts w:hint="eastAsia" w:ascii="仿宋_GB2312" w:hAnsi="宋体" w:eastAsia="仿宋_GB2312" w:cs="仿宋_GB2312"/>
                <w:b/>
                <w:bCs/>
                <w:sz w:val="28"/>
                <w:szCs w:val="28"/>
              </w:rPr>
              <w:t>乙方：</w:t>
            </w:r>
          </w:p>
        </w:tc>
      </w:tr>
      <w:tr w14:paraId="53B9BB8F">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737" w:hRule="exact"/>
        </w:trPr>
        <w:tc>
          <w:tcPr>
            <w:tcW w:w="4436" w:type="dxa"/>
            <w:noWrap/>
            <w:vAlign w:val="center"/>
          </w:tcPr>
          <w:p w14:paraId="370B75D0">
            <w:pPr>
              <w:spacing w:line="400" w:lineRule="exact"/>
              <w:ind w:right="-334" w:rightChars="-159"/>
              <w:rPr>
                <w:rFonts w:ascii="仿宋_GB2312" w:hAnsi="宋体" w:eastAsia="仿宋_GB2312" w:cs="Times New Roman"/>
                <w:sz w:val="28"/>
                <w:szCs w:val="28"/>
              </w:rPr>
            </w:pPr>
            <w:r>
              <w:rPr>
                <w:rFonts w:hint="eastAsia" w:ascii="仿宋_GB2312" w:hAnsi="宋体" w:eastAsia="仿宋_GB2312" w:cs="仿宋_GB2312"/>
                <w:sz w:val="28"/>
                <w:szCs w:val="28"/>
              </w:rPr>
              <w:t>法定代表人</w:t>
            </w:r>
          </w:p>
        </w:tc>
        <w:tc>
          <w:tcPr>
            <w:tcW w:w="4437" w:type="dxa"/>
            <w:noWrap/>
            <w:vAlign w:val="center"/>
          </w:tcPr>
          <w:p w14:paraId="40277A45">
            <w:pPr>
              <w:spacing w:line="400" w:lineRule="exact"/>
              <w:ind w:right="-334" w:rightChars="-159"/>
              <w:rPr>
                <w:rFonts w:ascii="仿宋_GB2312" w:hAnsi="宋体" w:eastAsia="仿宋_GB2312" w:cs="Times New Roman"/>
                <w:sz w:val="28"/>
                <w:szCs w:val="28"/>
              </w:rPr>
            </w:pPr>
            <w:r>
              <w:rPr>
                <w:rFonts w:hint="eastAsia" w:ascii="仿宋_GB2312" w:hAnsi="宋体" w:eastAsia="仿宋_GB2312" w:cs="仿宋_GB2312"/>
                <w:sz w:val="28"/>
                <w:szCs w:val="28"/>
              </w:rPr>
              <w:t>法定代表人</w:t>
            </w:r>
          </w:p>
        </w:tc>
      </w:tr>
      <w:tr w14:paraId="5119A952">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737" w:hRule="exact"/>
        </w:trPr>
        <w:tc>
          <w:tcPr>
            <w:tcW w:w="4436" w:type="dxa"/>
            <w:noWrap/>
            <w:vAlign w:val="center"/>
          </w:tcPr>
          <w:p w14:paraId="52A90B8F">
            <w:pPr>
              <w:spacing w:line="400" w:lineRule="exact"/>
              <w:ind w:right="-334" w:rightChars="-159"/>
              <w:rPr>
                <w:rFonts w:ascii="仿宋_GB2312" w:hAnsi="宋体" w:eastAsia="仿宋_GB2312" w:cs="Times New Roman"/>
                <w:sz w:val="28"/>
                <w:szCs w:val="28"/>
              </w:rPr>
            </w:pPr>
            <w:r>
              <w:rPr>
                <w:rFonts w:hint="eastAsia" w:ascii="仿宋_GB2312" w:hAnsi="宋体" w:eastAsia="仿宋_GB2312" w:cs="仿宋_GB2312"/>
                <w:spacing w:val="-20"/>
                <w:sz w:val="28"/>
                <w:szCs w:val="28"/>
              </w:rPr>
              <w:t>或委托代理人</w:t>
            </w:r>
            <w:r>
              <w:rPr>
                <w:rFonts w:hint="eastAsia" w:ascii="仿宋_GB2312" w:hAnsi="宋体" w:eastAsia="仿宋_GB2312" w:cs="仿宋_GB2312"/>
                <w:sz w:val="28"/>
                <w:szCs w:val="28"/>
              </w:rPr>
              <w:t>：</w:t>
            </w:r>
          </w:p>
        </w:tc>
        <w:tc>
          <w:tcPr>
            <w:tcW w:w="4437" w:type="dxa"/>
            <w:noWrap/>
            <w:vAlign w:val="center"/>
          </w:tcPr>
          <w:p w14:paraId="63349E51">
            <w:pPr>
              <w:spacing w:line="400" w:lineRule="exact"/>
              <w:ind w:right="-334" w:rightChars="-159"/>
              <w:rPr>
                <w:rFonts w:ascii="仿宋_GB2312" w:hAnsi="宋体" w:eastAsia="仿宋_GB2312" w:cs="Times New Roman"/>
                <w:sz w:val="28"/>
                <w:szCs w:val="28"/>
              </w:rPr>
            </w:pPr>
            <w:r>
              <w:rPr>
                <w:rFonts w:hint="eastAsia" w:ascii="仿宋_GB2312" w:hAnsi="宋体" w:eastAsia="仿宋_GB2312" w:cs="仿宋_GB2312"/>
                <w:spacing w:val="-20"/>
                <w:sz w:val="28"/>
                <w:szCs w:val="28"/>
              </w:rPr>
              <w:t>或委托代理人</w:t>
            </w:r>
            <w:r>
              <w:rPr>
                <w:rFonts w:hint="eastAsia" w:ascii="仿宋_GB2312" w:hAnsi="宋体" w:eastAsia="仿宋_GB2312" w:cs="仿宋_GB2312"/>
                <w:sz w:val="28"/>
                <w:szCs w:val="28"/>
              </w:rPr>
              <w:t>：</w:t>
            </w:r>
          </w:p>
        </w:tc>
      </w:tr>
      <w:tr w14:paraId="18B5F7BD">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590" w:hRule="atLeast"/>
        </w:trPr>
        <w:tc>
          <w:tcPr>
            <w:tcW w:w="4436" w:type="dxa"/>
            <w:noWrap/>
            <w:vAlign w:val="center"/>
          </w:tcPr>
          <w:p w14:paraId="08024ABA">
            <w:pPr>
              <w:spacing w:line="400" w:lineRule="exact"/>
              <w:ind w:right="-334" w:rightChars="-159"/>
              <w:rPr>
                <w:rFonts w:ascii="宋体" w:hAnsi="宋体" w:eastAsia="宋体" w:cs="Times New Roman"/>
                <w:sz w:val="24"/>
                <w:szCs w:val="24"/>
              </w:rPr>
            </w:pPr>
            <w:r>
              <w:rPr>
                <w:rFonts w:hint="eastAsia" w:ascii="仿宋_GB2312" w:hAnsi="宋体" w:eastAsia="仿宋_GB2312" w:cs="仿宋_GB2312"/>
                <w:sz w:val="28"/>
                <w:szCs w:val="28"/>
              </w:rPr>
              <w:t>地</w:t>
            </w: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址：</w:t>
            </w:r>
            <w:r>
              <w:rPr>
                <w:rFonts w:hint="eastAsia" w:ascii="宋体" w:hAnsi="宋体" w:eastAsia="宋体" w:cs="宋体"/>
                <w:sz w:val="24"/>
                <w:szCs w:val="24"/>
              </w:rPr>
              <w:t>永城市东城区芒山路与光明</w:t>
            </w:r>
          </w:p>
          <w:p w14:paraId="7F28A2A5">
            <w:pPr>
              <w:spacing w:line="400" w:lineRule="exact"/>
              <w:ind w:right="-334" w:rightChars="-159"/>
              <w:rPr>
                <w:rFonts w:ascii="宋体" w:hAnsi="宋体" w:eastAsia="宋体" w:cs="Times New Roman"/>
                <w:sz w:val="28"/>
                <w:szCs w:val="28"/>
              </w:rPr>
            </w:pPr>
            <w:r>
              <w:rPr>
                <w:rFonts w:hint="eastAsia" w:ascii="宋体" w:hAnsi="宋体" w:eastAsia="宋体" w:cs="宋体"/>
                <w:sz w:val="24"/>
                <w:szCs w:val="24"/>
              </w:rPr>
              <w:t>路交叉口西北角</w:t>
            </w:r>
          </w:p>
        </w:tc>
        <w:tc>
          <w:tcPr>
            <w:tcW w:w="4437" w:type="dxa"/>
            <w:noWrap/>
            <w:vAlign w:val="center"/>
          </w:tcPr>
          <w:p w14:paraId="393DC2CB">
            <w:pPr>
              <w:spacing w:line="400" w:lineRule="exact"/>
              <w:ind w:right="-334" w:rightChars="-159"/>
              <w:rPr>
                <w:rFonts w:ascii="宋体" w:hAnsi="宋体" w:eastAsia="宋体" w:cs="Times New Roman"/>
                <w:sz w:val="28"/>
                <w:szCs w:val="28"/>
              </w:rPr>
            </w:pPr>
            <w:r>
              <w:rPr>
                <w:rFonts w:hint="eastAsia" w:ascii="仿宋_GB2312" w:hAnsi="宋体" w:eastAsia="仿宋_GB2312" w:cs="仿宋_GB2312"/>
                <w:sz w:val="28"/>
                <w:szCs w:val="28"/>
              </w:rPr>
              <w:t>地</w:t>
            </w: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址：</w:t>
            </w:r>
          </w:p>
        </w:tc>
      </w:tr>
      <w:tr w14:paraId="24357061">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590" w:hRule="atLeast"/>
        </w:trPr>
        <w:tc>
          <w:tcPr>
            <w:tcW w:w="4436" w:type="dxa"/>
            <w:noWrap/>
            <w:vAlign w:val="center"/>
          </w:tcPr>
          <w:p w14:paraId="7BF496F4">
            <w:pPr>
              <w:spacing w:line="400" w:lineRule="exact"/>
              <w:ind w:right="-334" w:rightChars="-159"/>
              <w:rPr>
                <w:rFonts w:ascii="宋体" w:hAnsi="宋体" w:eastAsia="宋体" w:cs="Times New Roman"/>
                <w:sz w:val="24"/>
                <w:szCs w:val="24"/>
              </w:rPr>
            </w:pPr>
            <w:r>
              <w:rPr>
                <w:rFonts w:hint="eastAsia" w:ascii="仿宋_GB2312" w:hAnsi="宋体" w:eastAsia="仿宋_GB2312" w:cs="仿宋_GB2312"/>
                <w:sz w:val="28"/>
                <w:szCs w:val="28"/>
              </w:rPr>
              <w:t>开</w:t>
            </w: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户</w:t>
            </w: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行：</w:t>
            </w:r>
            <w:r>
              <w:rPr>
                <w:rFonts w:hint="eastAsia" w:ascii="宋体" w:hAnsi="宋体" w:eastAsia="宋体" w:cs="宋体"/>
                <w:sz w:val="24"/>
                <w:szCs w:val="24"/>
              </w:rPr>
              <w:t>中国建设银行股份有限公司</w:t>
            </w:r>
          </w:p>
          <w:p w14:paraId="793C5EA2">
            <w:pPr>
              <w:spacing w:line="400" w:lineRule="exact"/>
              <w:ind w:right="-334" w:rightChars="-159"/>
              <w:rPr>
                <w:rFonts w:ascii="宋体" w:hAnsi="宋体" w:eastAsia="宋体" w:cs="Times New Roman"/>
                <w:sz w:val="28"/>
                <w:szCs w:val="28"/>
              </w:rPr>
            </w:pPr>
            <w:r>
              <w:rPr>
                <w:rFonts w:hint="eastAsia" w:ascii="宋体" w:hAnsi="宋体" w:eastAsia="宋体" w:cs="宋体"/>
                <w:sz w:val="24"/>
                <w:szCs w:val="24"/>
              </w:rPr>
              <w:t>永城支行</w:t>
            </w:r>
          </w:p>
        </w:tc>
        <w:tc>
          <w:tcPr>
            <w:tcW w:w="4437" w:type="dxa"/>
            <w:noWrap/>
            <w:vAlign w:val="center"/>
          </w:tcPr>
          <w:p w14:paraId="786942FE">
            <w:pPr>
              <w:spacing w:line="400" w:lineRule="exact"/>
              <w:ind w:right="-334" w:rightChars="-159"/>
              <w:rPr>
                <w:rFonts w:ascii="宋体" w:hAnsi="宋体" w:eastAsia="宋体" w:cs="Times New Roman"/>
                <w:sz w:val="24"/>
                <w:szCs w:val="24"/>
              </w:rPr>
            </w:pPr>
            <w:r>
              <w:rPr>
                <w:rFonts w:hint="eastAsia" w:ascii="仿宋_GB2312" w:hAnsi="宋体" w:eastAsia="仿宋_GB2312" w:cs="仿宋_GB2312"/>
                <w:sz w:val="28"/>
                <w:szCs w:val="28"/>
              </w:rPr>
              <w:t>开</w:t>
            </w: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户</w:t>
            </w: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行：</w:t>
            </w:r>
          </w:p>
        </w:tc>
      </w:tr>
      <w:tr w14:paraId="3FF965C9">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680" w:hRule="exact"/>
        </w:trPr>
        <w:tc>
          <w:tcPr>
            <w:tcW w:w="4436" w:type="dxa"/>
            <w:noWrap/>
            <w:vAlign w:val="center"/>
          </w:tcPr>
          <w:p w14:paraId="06CCCF9C">
            <w:pPr>
              <w:spacing w:line="400" w:lineRule="exact"/>
              <w:ind w:right="-334" w:rightChars="-159"/>
              <w:rPr>
                <w:rFonts w:ascii="仿宋_GB2312" w:hAnsi="宋体" w:eastAsia="仿宋_GB2312" w:cs="仿宋_GB2312"/>
                <w:sz w:val="28"/>
                <w:szCs w:val="28"/>
              </w:rPr>
            </w:pPr>
            <w:r>
              <w:rPr>
                <w:rFonts w:hint="eastAsia" w:ascii="仿宋_GB2312" w:hAnsi="宋体" w:eastAsia="仿宋_GB2312" w:cs="仿宋_GB2312"/>
                <w:sz w:val="28"/>
                <w:szCs w:val="28"/>
              </w:rPr>
              <w:t>账</w:t>
            </w: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号：</w:t>
            </w:r>
            <w:r>
              <w:rPr>
                <w:rFonts w:ascii="仿宋_GB2312" w:hAnsi="宋体" w:eastAsia="仿宋_GB2312" w:cs="仿宋_GB2312"/>
                <w:sz w:val="28"/>
                <w:szCs w:val="28"/>
              </w:rPr>
              <w:t>41001506610050202238</w:t>
            </w:r>
          </w:p>
        </w:tc>
        <w:tc>
          <w:tcPr>
            <w:tcW w:w="4437" w:type="dxa"/>
            <w:noWrap/>
            <w:vAlign w:val="center"/>
          </w:tcPr>
          <w:p w14:paraId="0C13351F">
            <w:pPr>
              <w:spacing w:line="400" w:lineRule="exact"/>
              <w:ind w:right="-334" w:rightChars="-159"/>
              <w:rPr>
                <w:rFonts w:ascii="仿宋_GB2312" w:hAnsi="宋体" w:eastAsia="仿宋_GB2312" w:cs="仿宋_GB2312"/>
                <w:sz w:val="28"/>
                <w:szCs w:val="28"/>
              </w:rPr>
            </w:pPr>
            <w:r>
              <w:rPr>
                <w:rFonts w:hint="eastAsia" w:ascii="仿宋_GB2312" w:hAnsi="宋体" w:eastAsia="仿宋_GB2312" w:cs="仿宋_GB2312"/>
                <w:sz w:val="28"/>
                <w:szCs w:val="28"/>
              </w:rPr>
              <w:t>账</w:t>
            </w: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号：</w:t>
            </w:r>
          </w:p>
        </w:tc>
      </w:tr>
      <w:tr w14:paraId="3AF2EC4C">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680" w:hRule="exact"/>
        </w:trPr>
        <w:tc>
          <w:tcPr>
            <w:tcW w:w="4436" w:type="dxa"/>
            <w:noWrap/>
            <w:vAlign w:val="center"/>
          </w:tcPr>
          <w:p w14:paraId="65893557">
            <w:pPr>
              <w:spacing w:line="400" w:lineRule="exact"/>
              <w:ind w:right="-334" w:rightChars="-159"/>
              <w:rPr>
                <w:rFonts w:ascii="仿宋_GB2312" w:hAnsi="宋体" w:eastAsia="仿宋_GB2312" w:cs="仿宋_GB2312"/>
                <w:sz w:val="28"/>
                <w:szCs w:val="28"/>
              </w:rPr>
            </w:pPr>
            <w:r>
              <w:rPr>
                <w:rFonts w:hint="eastAsia" w:ascii="仿宋_GB2312" w:hAnsi="宋体" w:eastAsia="仿宋_GB2312" w:cs="仿宋_GB2312"/>
                <w:sz w:val="28"/>
                <w:szCs w:val="28"/>
              </w:rPr>
              <w:t>税</w:t>
            </w: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号：</w:t>
            </w:r>
            <w:r>
              <w:rPr>
                <w:rFonts w:ascii="仿宋_GB2312" w:hAnsi="宋体" w:eastAsia="仿宋_GB2312" w:cs="仿宋_GB2312"/>
                <w:sz w:val="28"/>
                <w:szCs w:val="28"/>
              </w:rPr>
              <w:t>91411481798225689G</w:t>
            </w:r>
          </w:p>
        </w:tc>
        <w:tc>
          <w:tcPr>
            <w:tcW w:w="4437" w:type="dxa"/>
            <w:noWrap/>
            <w:vAlign w:val="center"/>
          </w:tcPr>
          <w:p w14:paraId="7F9AB68E">
            <w:pPr>
              <w:spacing w:line="400" w:lineRule="exact"/>
              <w:ind w:right="-334" w:rightChars="-159"/>
              <w:rPr>
                <w:rFonts w:ascii="仿宋_GB2312" w:hAnsi="宋体" w:eastAsia="仿宋_GB2312" w:cs="仿宋_GB2312"/>
                <w:sz w:val="28"/>
                <w:szCs w:val="28"/>
              </w:rPr>
            </w:pPr>
            <w:r>
              <w:rPr>
                <w:rFonts w:hint="eastAsia" w:ascii="仿宋_GB2312" w:hAnsi="宋体" w:eastAsia="仿宋_GB2312" w:cs="仿宋_GB2312"/>
                <w:sz w:val="28"/>
                <w:szCs w:val="28"/>
              </w:rPr>
              <w:t>税</w:t>
            </w: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号：</w:t>
            </w:r>
          </w:p>
        </w:tc>
      </w:tr>
      <w:tr w14:paraId="6CA2AE2A">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680" w:hRule="exact"/>
        </w:trPr>
        <w:tc>
          <w:tcPr>
            <w:tcW w:w="4436" w:type="dxa"/>
            <w:noWrap/>
            <w:vAlign w:val="center"/>
          </w:tcPr>
          <w:p w14:paraId="49D60154">
            <w:pPr>
              <w:spacing w:line="400" w:lineRule="exact"/>
              <w:ind w:right="-334" w:rightChars="-159"/>
              <w:rPr>
                <w:rFonts w:hint="eastAsia" w:ascii="仿宋_GB2312" w:hAnsi="宋体" w:eastAsia="仿宋_GB2312" w:cs="Times New Roman"/>
                <w:sz w:val="28"/>
                <w:szCs w:val="28"/>
                <w:lang w:eastAsia="zh-CN"/>
              </w:rPr>
            </w:pPr>
            <w:r>
              <w:rPr>
                <w:rFonts w:hint="eastAsia" w:ascii="仿宋_GB2312" w:hAnsi="宋体" w:eastAsia="仿宋_GB2312" w:cs="仿宋_GB2312"/>
                <w:sz w:val="28"/>
                <w:szCs w:val="28"/>
              </w:rPr>
              <w:t>联</w:t>
            </w: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系</w:t>
            </w: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人：</w:t>
            </w:r>
          </w:p>
        </w:tc>
        <w:tc>
          <w:tcPr>
            <w:tcW w:w="4437" w:type="dxa"/>
            <w:noWrap/>
            <w:vAlign w:val="center"/>
          </w:tcPr>
          <w:p w14:paraId="6D83F869">
            <w:pPr>
              <w:spacing w:line="400" w:lineRule="exact"/>
              <w:ind w:right="-334" w:rightChars="-159"/>
              <w:rPr>
                <w:rFonts w:hint="eastAsia" w:ascii="仿宋_GB2312" w:hAnsi="宋体" w:eastAsia="仿宋_GB2312" w:cs="Times New Roman"/>
                <w:sz w:val="28"/>
                <w:szCs w:val="28"/>
                <w:lang w:val="en-US" w:eastAsia="zh-CN"/>
              </w:rPr>
            </w:pPr>
            <w:r>
              <w:rPr>
                <w:rFonts w:hint="eastAsia" w:ascii="仿宋_GB2312" w:hAnsi="宋体" w:eastAsia="仿宋_GB2312" w:cs="仿宋_GB2312"/>
                <w:sz w:val="28"/>
                <w:szCs w:val="28"/>
              </w:rPr>
              <w:t>联</w:t>
            </w: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系</w:t>
            </w: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人：</w:t>
            </w:r>
          </w:p>
        </w:tc>
      </w:tr>
      <w:tr w14:paraId="27309EDD">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680" w:hRule="exact"/>
        </w:trPr>
        <w:tc>
          <w:tcPr>
            <w:tcW w:w="4436" w:type="dxa"/>
            <w:tcBorders>
              <w:bottom w:val="single" w:color="auto" w:sz="4" w:space="0"/>
            </w:tcBorders>
            <w:noWrap/>
            <w:vAlign w:val="center"/>
          </w:tcPr>
          <w:p w14:paraId="1031E665">
            <w:pPr>
              <w:spacing w:line="400" w:lineRule="exact"/>
              <w:ind w:right="-334" w:rightChars="-159"/>
              <w:rPr>
                <w:rFonts w:ascii="仿宋_GB2312" w:hAnsi="宋体" w:eastAsia="仿宋_GB2312" w:cs="仿宋_GB2312"/>
                <w:sz w:val="28"/>
                <w:szCs w:val="28"/>
              </w:rPr>
            </w:pPr>
            <w:r>
              <w:rPr>
                <w:rFonts w:hint="eastAsia" w:ascii="仿宋_GB2312" w:hAnsi="宋体" w:eastAsia="仿宋_GB2312" w:cs="仿宋_GB2312"/>
                <w:sz w:val="28"/>
                <w:szCs w:val="28"/>
              </w:rPr>
              <w:t>联系电话：</w:t>
            </w:r>
            <w:r>
              <w:rPr>
                <w:rFonts w:ascii="仿宋_GB2312" w:hAnsi="宋体" w:eastAsia="仿宋_GB2312" w:cs="仿宋_GB2312"/>
                <w:sz w:val="28"/>
                <w:szCs w:val="28"/>
              </w:rPr>
              <w:t>03705137795</w:t>
            </w:r>
          </w:p>
        </w:tc>
        <w:tc>
          <w:tcPr>
            <w:tcW w:w="4437" w:type="dxa"/>
            <w:tcBorders>
              <w:bottom w:val="single" w:color="auto" w:sz="4" w:space="0"/>
            </w:tcBorders>
            <w:noWrap/>
            <w:vAlign w:val="center"/>
          </w:tcPr>
          <w:p w14:paraId="0753FC4C">
            <w:pPr>
              <w:spacing w:line="400" w:lineRule="exact"/>
              <w:ind w:right="-334" w:rightChars="-159"/>
              <w:rPr>
                <w:rFonts w:hint="default" w:ascii="仿宋_GB2312" w:hAnsi="宋体" w:eastAsia="仿宋_GB2312" w:cs="仿宋_GB2312"/>
                <w:sz w:val="28"/>
                <w:szCs w:val="28"/>
                <w:lang w:val="en-US" w:eastAsia="zh-CN"/>
              </w:rPr>
            </w:pPr>
            <w:r>
              <w:rPr>
                <w:rFonts w:hint="eastAsia" w:ascii="仿宋_GB2312" w:hAnsi="宋体" w:eastAsia="仿宋_GB2312" w:cs="仿宋_GB2312"/>
                <w:sz w:val="28"/>
                <w:szCs w:val="28"/>
              </w:rPr>
              <w:t>联系电话：</w:t>
            </w:r>
          </w:p>
        </w:tc>
      </w:tr>
    </w:tbl>
    <w:p w14:paraId="37CE974F">
      <w:pPr>
        <w:widowControl w:val="0"/>
        <w:numPr>
          <w:ilvl w:val="0"/>
          <w:numId w:val="0"/>
        </w:numPr>
        <w:jc w:val="left"/>
        <w:rPr>
          <w:rFonts w:hint="eastAsia" w:ascii="仿宋_GB2312" w:hAnsi="仿宋_GB2312" w:eastAsia="仿宋_GB2312" w:cs="仿宋_GB2312"/>
          <w:sz w:val="32"/>
          <w:szCs w:val="32"/>
          <w:lang w:val="en-US" w:eastAsia="zh-CN"/>
        </w:rPr>
      </w:pPr>
    </w:p>
    <w:p w14:paraId="328882D6">
      <w:pPr>
        <w:rPr>
          <w:rFonts w:hint="default"/>
          <w:lang w:val="en-US" w:eastAsia="zh-CN"/>
        </w:rPr>
      </w:pPr>
    </w:p>
    <w:p w14:paraId="3D6CE81B"/>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203A01"/>
    <w:multiLevelType w:val="singleLevel"/>
    <w:tmpl w:val="8C203A0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0F2CF6"/>
    <w:rsid w:val="0F0F2CF6"/>
    <w:rsid w:val="3E900B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99"/>
    <w:pPr>
      <w:spacing w:after="120"/>
    </w:pPr>
    <w:rPr>
      <w:rFonts w:ascii="Times New Roman" w:hAnsi="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5397</Words>
  <Characters>5520</Characters>
  <Lines>0</Lines>
  <Paragraphs>0</Paragraphs>
  <TotalTime>1</TotalTime>
  <ScaleCrop>false</ScaleCrop>
  <LinksUpToDate>false</LinksUpToDate>
  <CharactersWithSpaces>5667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2026-06-10T08:11:00Z</dcterms:created>
  <dc:creator>Administrator</dc:creator>
  <cp:lastModifiedBy>Administrator</cp:lastModifiedBy>
  <dcterms:modified xsi:type="dcterms:W3CDTF">2026-06-10T08:13:11Z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7BA8BDFC258D4473AA36E1D5A69753DB_13</vt:lpwstr>
  </property>
  <property fmtid="{D5CDD505-2E9C-101B-9397-08002B2CF9AE}" pid="4" name="KSOTemplateDocerSaveRecord">
    <vt:lpwstr>eyJoZGlkIjoiMjJlOTRjYWViZjU5YjkwYmVkMmQwNWEzZjE2N2JiZjEiLCJ1c2VySWQiOiIzOTM3OTY4ODEifQ==</vt:lpwstr>
  </property>
</Properties>
</file>